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4299A" w14:textId="77777777" w:rsidR="009E5044" w:rsidRDefault="009E5044" w:rsidP="009E5044">
      <w:pPr>
        <w:spacing w:line="480" w:lineRule="auto"/>
        <w:rPr>
          <w:rFonts w:ascii="Times New Roman" w:hAnsi="Times New Roman" w:cs="Times New Roman"/>
          <w:sz w:val="24"/>
          <w:szCs w:val="24"/>
        </w:rPr>
      </w:pPr>
    </w:p>
    <w:p w14:paraId="10A0864E" w14:textId="77777777" w:rsidR="00F004A0" w:rsidRDefault="00F004A0" w:rsidP="009E5044">
      <w:pPr>
        <w:spacing w:line="480" w:lineRule="auto"/>
        <w:jc w:val="center"/>
        <w:rPr>
          <w:rFonts w:ascii="Times New Roman" w:hAnsi="Times New Roman" w:cs="Times New Roman"/>
          <w:sz w:val="24"/>
          <w:szCs w:val="24"/>
        </w:rPr>
      </w:pPr>
    </w:p>
    <w:p w14:paraId="794D0D9D" w14:textId="77777777" w:rsidR="00F004A0" w:rsidRDefault="00F004A0" w:rsidP="009E5044">
      <w:pPr>
        <w:spacing w:line="480" w:lineRule="auto"/>
        <w:jc w:val="center"/>
        <w:rPr>
          <w:rFonts w:ascii="Times New Roman" w:hAnsi="Times New Roman" w:cs="Times New Roman"/>
          <w:sz w:val="24"/>
          <w:szCs w:val="24"/>
        </w:rPr>
      </w:pPr>
    </w:p>
    <w:p w14:paraId="1C10317B" w14:textId="77777777" w:rsidR="00F004A0" w:rsidRDefault="00F004A0" w:rsidP="009E5044">
      <w:pPr>
        <w:spacing w:line="480" w:lineRule="auto"/>
        <w:jc w:val="center"/>
        <w:rPr>
          <w:rFonts w:ascii="Times New Roman" w:hAnsi="Times New Roman" w:cs="Times New Roman"/>
          <w:sz w:val="24"/>
          <w:szCs w:val="24"/>
        </w:rPr>
      </w:pPr>
    </w:p>
    <w:p w14:paraId="3446EF76" w14:textId="77777777" w:rsidR="00F004A0" w:rsidRDefault="00F004A0" w:rsidP="009E5044">
      <w:pPr>
        <w:spacing w:line="480" w:lineRule="auto"/>
        <w:jc w:val="center"/>
        <w:rPr>
          <w:rFonts w:ascii="Times New Roman" w:hAnsi="Times New Roman" w:cs="Times New Roman"/>
          <w:sz w:val="24"/>
          <w:szCs w:val="24"/>
        </w:rPr>
      </w:pPr>
    </w:p>
    <w:p w14:paraId="205D490D" w14:textId="77777777" w:rsidR="00F004A0" w:rsidRDefault="00F004A0" w:rsidP="009E5044">
      <w:pPr>
        <w:spacing w:line="480" w:lineRule="auto"/>
        <w:jc w:val="center"/>
        <w:rPr>
          <w:rFonts w:ascii="Times New Roman" w:hAnsi="Times New Roman" w:cs="Times New Roman"/>
          <w:sz w:val="24"/>
          <w:szCs w:val="24"/>
        </w:rPr>
      </w:pPr>
    </w:p>
    <w:p w14:paraId="35C840A1" w14:textId="77777777" w:rsidR="00F004A0" w:rsidRDefault="00F004A0" w:rsidP="009E5044">
      <w:pPr>
        <w:spacing w:line="480" w:lineRule="auto"/>
        <w:jc w:val="center"/>
        <w:rPr>
          <w:rFonts w:ascii="Times New Roman" w:hAnsi="Times New Roman" w:cs="Times New Roman"/>
          <w:sz w:val="24"/>
          <w:szCs w:val="24"/>
        </w:rPr>
      </w:pPr>
    </w:p>
    <w:p w14:paraId="7DECCCA3" w14:textId="7C70DB78" w:rsidR="009E5044" w:rsidRDefault="00F004A0"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t>Use of Personalized Nutritional Plans to Control Type II Diabetes</w:t>
      </w:r>
    </w:p>
    <w:p w14:paraId="024BB745" w14:textId="13DBDA05" w:rsidR="00F004A0" w:rsidRDefault="00F004A0"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14:paraId="68EB8248" w14:textId="7C846581" w:rsidR="00F004A0" w:rsidRDefault="00F004A0"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F5E252A" w14:textId="6F777FA6" w:rsidR="00F004A0" w:rsidRDefault="00F004A0"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92BC74F" w14:textId="77777777" w:rsidR="00F004A0" w:rsidRDefault="00F004A0" w:rsidP="009E5044">
      <w:pPr>
        <w:spacing w:line="480" w:lineRule="auto"/>
        <w:jc w:val="center"/>
        <w:rPr>
          <w:rFonts w:ascii="Times New Roman" w:hAnsi="Times New Roman" w:cs="Times New Roman"/>
          <w:sz w:val="24"/>
          <w:szCs w:val="24"/>
        </w:rPr>
      </w:pPr>
    </w:p>
    <w:p w14:paraId="0073854D" w14:textId="77777777" w:rsidR="009E5044" w:rsidRDefault="009E5044" w:rsidP="009E5044">
      <w:pPr>
        <w:spacing w:line="480" w:lineRule="auto"/>
        <w:jc w:val="center"/>
        <w:rPr>
          <w:rFonts w:ascii="Times New Roman" w:hAnsi="Times New Roman" w:cs="Times New Roman"/>
          <w:sz w:val="24"/>
          <w:szCs w:val="24"/>
        </w:rPr>
      </w:pPr>
    </w:p>
    <w:p w14:paraId="7AFDF2D7" w14:textId="77777777" w:rsidR="009E5044" w:rsidRDefault="009E5044" w:rsidP="009E5044">
      <w:pPr>
        <w:spacing w:line="480" w:lineRule="auto"/>
        <w:jc w:val="center"/>
        <w:rPr>
          <w:rFonts w:ascii="Times New Roman" w:hAnsi="Times New Roman" w:cs="Times New Roman"/>
          <w:sz w:val="24"/>
          <w:szCs w:val="24"/>
        </w:rPr>
      </w:pPr>
    </w:p>
    <w:p w14:paraId="49CC5A80" w14:textId="77777777" w:rsidR="009E5044" w:rsidRDefault="009E5044"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F70F958" w14:textId="4AEDBE13" w:rsidR="001F0EC6" w:rsidRDefault="001F0EC6" w:rsidP="009E504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Section A: Organizational Culture and Readiness Assessment</w:t>
      </w:r>
    </w:p>
    <w:p w14:paraId="3FB8C02F"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Organizational Culture Survey Tool</w:t>
      </w:r>
    </w:p>
    <w:p w14:paraId="2DB1A331" w14:textId="77777777"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Pr>
          <w:rFonts w:ascii="Times New Roman" w:hAnsi="Times New Roman" w:cs="Times New Roman"/>
          <w:sz w:val="24"/>
          <w:szCs w:val="24"/>
        </w:rPr>
        <w:tab/>
      </w:r>
      <w:r w:rsidRPr="00881E6B">
        <w:rPr>
          <w:rFonts w:ascii="Times New Roman" w:hAnsi="Times New Roman" w:cs="Times New Roman"/>
          <w:sz w:val="24"/>
          <w:szCs w:val="24"/>
        </w:rPr>
        <w:t>Implementation of Evidence-Based Practice (EBP) implementation is the foundation for quality care. The selected organizational culture survey tool is the Organizational Readiness to Change Assessment (ORCA) tool. This survey tool measures the readiness of an organization in the implementation of EBP in clinical settings. The ORCA tool is essential in the identification and monitoring of the organization’s strengths and weaknesses to support the implementation of EBP (Puchalski &amp; Straus, 2019). This tool can also be used to support innovation in a clinical setting.</w:t>
      </w:r>
    </w:p>
    <w:p w14:paraId="12CE59A8"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Organization’s Readiness Level</w:t>
      </w:r>
    </w:p>
    <w:p w14:paraId="1152471E" w14:textId="77777777"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Pr>
          <w:rFonts w:ascii="Times New Roman" w:hAnsi="Times New Roman" w:cs="Times New Roman"/>
          <w:sz w:val="24"/>
          <w:szCs w:val="24"/>
        </w:rPr>
        <w:tab/>
      </w:r>
      <w:r w:rsidRPr="00881E6B">
        <w:rPr>
          <w:rFonts w:ascii="Times New Roman" w:hAnsi="Times New Roman" w:cs="Times New Roman"/>
          <w:sz w:val="24"/>
          <w:szCs w:val="24"/>
        </w:rPr>
        <w:t xml:space="preserve">The findings of the organizational culture and readiness evaluation depict the readiness of the healthcare organization to participate in evidence-based practice. The healthcare providers are committed to the implementation of evidence-based practice and supporting other staff in training. Healthcare providers have the passion for utilizing personalized nutritional plans to manage type II diabetic patients and in return, lower the number of readmissions into the facility. The facility will also provide research-based resources for future research in the implementation of personalized nutritional plans to treat patients with type II diabetes. </w:t>
      </w:r>
    </w:p>
    <w:p w14:paraId="1C7F0F82" w14:textId="77777777" w:rsidR="009E5044"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Barriers</w:t>
      </w:r>
    </w:p>
    <w:p w14:paraId="5182BE40" w14:textId="1DA1BB24" w:rsidR="009E5044" w:rsidRPr="00881E6B" w:rsidRDefault="001F0EC6" w:rsidP="001F0EC6">
      <w:pPr>
        <w:spacing w:line="480" w:lineRule="auto"/>
        <w:rPr>
          <w:rFonts w:ascii="Times New Roman" w:hAnsi="Times New Roman" w:cs="Times New Roman"/>
          <w:b/>
          <w:bCs/>
          <w:sz w:val="24"/>
          <w:szCs w:val="24"/>
        </w:rPr>
      </w:pPr>
      <w:r>
        <w:rPr>
          <w:rFonts w:ascii="Times New Roman" w:hAnsi="Times New Roman" w:cs="Times New Roman"/>
          <w:sz w:val="24"/>
          <w:szCs w:val="24"/>
        </w:rPr>
        <w:tab/>
      </w:r>
      <w:r w:rsidR="009E5044" w:rsidRPr="00881E6B">
        <w:rPr>
          <w:rFonts w:ascii="Times New Roman" w:hAnsi="Times New Roman" w:cs="Times New Roman"/>
          <w:sz w:val="24"/>
          <w:szCs w:val="24"/>
        </w:rPr>
        <w:t xml:space="preserve">The barrier that I foresee to affect the EBP is funding. It might be challenging to find an organization that will support and fund the practice. Resources are very scarce; hence, it is hard for organizations to sponsor the research. The other challenge would be granting of approval to </w:t>
      </w:r>
      <w:r w:rsidR="009E5044" w:rsidRPr="00881E6B">
        <w:rPr>
          <w:rFonts w:ascii="Times New Roman" w:hAnsi="Times New Roman" w:cs="Times New Roman"/>
          <w:sz w:val="24"/>
          <w:szCs w:val="24"/>
        </w:rPr>
        <w:lastRenderedPageBreak/>
        <w:t xml:space="preserve">conduct the study. Not all organizations support evidence-based practices within the organization as the exercises are quite expensive to implement. </w:t>
      </w:r>
    </w:p>
    <w:p w14:paraId="1FC976CB"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The Facilitators</w:t>
      </w:r>
    </w:p>
    <w:p w14:paraId="0EDEFF8C" w14:textId="53C21C8E"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sidR="001F0EC6">
        <w:rPr>
          <w:rFonts w:ascii="Times New Roman" w:hAnsi="Times New Roman" w:cs="Times New Roman"/>
          <w:sz w:val="24"/>
          <w:szCs w:val="24"/>
        </w:rPr>
        <w:tab/>
      </w:r>
      <w:r w:rsidRPr="00881E6B">
        <w:rPr>
          <w:rFonts w:ascii="Times New Roman" w:hAnsi="Times New Roman" w:cs="Times New Roman"/>
          <w:sz w:val="24"/>
          <w:szCs w:val="24"/>
        </w:rPr>
        <w:t xml:space="preserve">The facilitators of this evidence-based practice will help in the funding of the research and its implementation in various organizations. The study will also help in the adoption of personalized nutritional plans to treat patients with type II diabetes (Ceriello et al., 2014). Facilitators include National Initiatives, including the Centers for Medicare and Medicaid Services Hospital Readmissions Reduction Program (HRRP). These initiatives are concerned with the reduction of preventable hospital readmissions. </w:t>
      </w:r>
    </w:p>
    <w:p w14:paraId="1BFE615F"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Integration of Clinical Inquiry</w:t>
      </w:r>
    </w:p>
    <w:p w14:paraId="08EA463E" w14:textId="60951E8E"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sidR="001F0EC6">
        <w:rPr>
          <w:rFonts w:ascii="Times New Roman" w:hAnsi="Times New Roman" w:cs="Times New Roman"/>
          <w:sz w:val="24"/>
          <w:szCs w:val="24"/>
        </w:rPr>
        <w:tab/>
      </w:r>
      <w:r w:rsidRPr="00881E6B">
        <w:rPr>
          <w:rFonts w:ascii="Times New Roman" w:hAnsi="Times New Roman" w:cs="Times New Roman"/>
          <w:sz w:val="24"/>
          <w:szCs w:val="24"/>
        </w:rPr>
        <w:t>Clinical inquiry skills are essential in the implementation of evidence-based practice. Clinical inquiry entails asking related clinical questions to ensure that the best practices are being used. The clinical investigations will, therefore, aim at improving the quality of healthcare provision to patients with type II diabetes and research to generate new knowledge that is implemented in the form of EBP.</w:t>
      </w:r>
    </w:p>
    <w:p w14:paraId="1E956C00"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Conclusion</w:t>
      </w:r>
    </w:p>
    <w:p w14:paraId="72E2D0B5" w14:textId="58CE4DCC" w:rsidR="009E5044" w:rsidRDefault="009E5044" w:rsidP="00D22A89">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sidR="001F0EC6">
        <w:rPr>
          <w:rFonts w:ascii="Times New Roman" w:hAnsi="Times New Roman" w:cs="Times New Roman"/>
          <w:sz w:val="24"/>
          <w:szCs w:val="24"/>
        </w:rPr>
        <w:tab/>
      </w:r>
      <w:r w:rsidRPr="00881E6B">
        <w:rPr>
          <w:rFonts w:ascii="Times New Roman" w:hAnsi="Times New Roman" w:cs="Times New Roman"/>
          <w:sz w:val="24"/>
          <w:szCs w:val="24"/>
        </w:rPr>
        <w:t xml:space="preserve">Lastly, for the achievement of a reduced rate of hospital readmissions, the adoption of the personalized nutritional plan is vital in treating patients with type II diabetes. The organization’s readiness will also be essential for the achievement of the outcome and implementation of evidence-based practice (Ceriello et al., 2014). </w:t>
      </w:r>
    </w:p>
    <w:p w14:paraId="6400A835" w14:textId="77777777" w:rsidR="00D22A89" w:rsidRDefault="00D22A89" w:rsidP="00D22A89">
      <w:pPr>
        <w:spacing w:line="480" w:lineRule="auto"/>
        <w:jc w:val="center"/>
        <w:rPr>
          <w:rFonts w:ascii="Times New Roman" w:hAnsi="Times New Roman" w:cs="Times New Roman"/>
          <w:sz w:val="24"/>
          <w:szCs w:val="24"/>
        </w:rPr>
      </w:pPr>
    </w:p>
    <w:p w14:paraId="0841E874" w14:textId="77777777" w:rsidR="00D22A89" w:rsidRPr="00D22A89" w:rsidRDefault="009E5044" w:rsidP="00D22A89">
      <w:pPr>
        <w:spacing w:line="480" w:lineRule="auto"/>
        <w:jc w:val="center"/>
        <w:rPr>
          <w:rFonts w:ascii="Times New Roman" w:hAnsi="Times New Roman" w:cs="Times New Roman"/>
          <w:b/>
          <w:sz w:val="24"/>
          <w:szCs w:val="24"/>
        </w:rPr>
      </w:pPr>
      <w:r w:rsidRPr="00D22A89">
        <w:rPr>
          <w:rFonts w:ascii="Times New Roman" w:hAnsi="Times New Roman" w:cs="Times New Roman"/>
          <w:b/>
          <w:sz w:val="24"/>
          <w:szCs w:val="24"/>
        </w:rPr>
        <w:lastRenderedPageBreak/>
        <w:t>Section B: Problem Statement and Research Summary</w:t>
      </w:r>
    </w:p>
    <w:p w14:paraId="095EAF35" w14:textId="637F4C88" w:rsidR="009E5044" w:rsidRPr="00D22A89" w:rsidRDefault="009E5044" w:rsidP="00D22A89">
      <w:pPr>
        <w:spacing w:line="480" w:lineRule="auto"/>
        <w:jc w:val="center"/>
        <w:rPr>
          <w:rFonts w:ascii="Times New Roman" w:hAnsi="Times New Roman" w:cs="Times New Roman"/>
          <w:sz w:val="24"/>
          <w:szCs w:val="24"/>
        </w:rPr>
      </w:pPr>
      <w:r w:rsidRPr="008D21F4">
        <w:rPr>
          <w:rFonts w:ascii="Times New Roman" w:eastAsia="Times New Roman" w:hAnsi="Times New Roman" w:cs="Times New Roman"/>
          <w:b/>
          <w:bCs/>
          <w:color w:val="000000"/>
          <w:sz w:val="24"/>
          <w:szCs w:val="24"/>
        </w:rPr>
        <w:t>Problem Statement</w:t>
      </w:r>
    </w:p>
    <w:p w14:paraId="10743449" w14:textId="77777777" w:rsidR="009E5044" w:rsidRPr="008D21F4" w:rsidRDefault="009E5044" w:rsidP="009E5044">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Type </w:t>
      </w:r>
      <w:r>
        <w:rPr>
          <w:rFonts w:ascii="Times New Roman" w:eastAsia="Times New Roman" w:hAnsi="Times New Roman" w:cs="Times New Roman"/>
          <w:color w:val="000000"/>
          <w:sz w:val="24"/>
          <w:szCs w:val="24"/>
        </w:rPr>
        <w:t>II</w:t>
      </w:r>
      <w:r w:rsidRPr="008D21F4">
        <w:rPr>
          <w:rFonts w:ascii="Times New Roman" w:eastAsia="Times New Roman" w:hAnsi="Times New Roman" w:cs="Times New Roman"/>
          <w:color w:val="000000"/>
          <w:sz w:val="24"/>
          <w:szCs w:val="24"/>
        </w:rPr>
        <w:t xml:space="preserve"> Diabetes Mellitus affects about 29.1 million individuals in the United States, making it the 7th leading cause of death. (Diabetes, 2018). Individuals with poorly controlled diabetes can have numerous amounts of complications creating multiple comorbidities. Cardiovascular disease accounts for more than 70% of the total mortality among patients with type 2 diabetes.</w:t>
      </w:r>
      <w:r>
        <w:rPr>
          <w:rFonts w:ascii="Times New Roman" w:eastAsia="Times New Roman" w:hAnsi="Times New Roman" w:cs="Times New Roman"/>
          <w:color w:val="000000"/>
          <w:sz w:val="24"/>
          <w:szCs w:val="24"/>
        </w:rPr>
        <w:t xml:space="preserve"> </w:t>
      </w:r>
      <w:r w:rsidRPr="00C2727A">
        <w:rPr>
          <w:rFonts w:ascii="Times New Roman" w:eastAsia="Times New Roman" w:hAnsi="Times New Roman" w:cs="Times New Roman"/>
          <w:color w:val="000000"/>
          <w:sz w:val="24"/>
          <w:szCs w:val="24"/>
        </w:rPr>
        <w:t>(Einarson,</w:t>
      </w:r>
      <w:r>
        <w:rPr>
          <w:rFonts w:ascii="Times New Roman" w:eastAsia="Times New Roman" w:hAnsi="Times New Roman" w:cs="Times New Roman"/>
          <w:color w:val="000000"/>
          <w:sz w:val="24"/>
          <w:szCs w:val="24"/>
        </w:rPr>
        <w:t xml:space="preserve"> </w:t>
      </w:r>
      <w:r w:rsidRPr="00C2727A">
        <w:rPr>
          <w:rFonts w:ascii="Times New Roman" w:eastAsia="Times New Roman" w:hAnsi="Times New Roman" w:cs="Times New Roman"/>
          <w:color w:val="000000"/>
          <w:sz w:val="24"/>
          <w:szCs w:val="24"/>
        </w:rPr>
        <w:t>Acs,</w:t>
      </w:r>
      <w:r>
        <w:rPr>
          <w:rFonts w:ascii="Times New Roman" w:eastAsia="Times New Roman" w:hAnsi="Times New Roman" w:cs="Times New Roman"/>
          <w:color w:val="000000"/>
          <w:sz w:val="24"/>
          <w:szCs w:val="24"/>
        </w:rPr>
        <w:t xml:space="preserve"> </w:t>
      </w:r>
      <w:r w:rsidRPr="00C2727A">
        <w:rPr>
          <w:rFonts w:ascii="Times New Roman" w:eastAsia="Times New Roman" w:hAnsi="Times New Roman" w:cs="Times New Roman"/>
          <w:color w:val="000000"/>
          <w:sz w:val="24"/>
          <w:szCs w:val="24"/>
        </w:rPr>
        <w:t xml:space="preserve">Ludwig, </w:t>
      </w:r>
      <w:r>
        <w:rPr>
          <w:rFonts w:ascii="Times New Roman" w:eastAsia="Times New Roman" w:hAnsi="Times New Roman" w:cs="Times New Roman"/>
          <w:color w:val="000000"/>
          <w:sz w:val="24"/>
          <w:szCs w:val="24"/>
        </w:rPr>
        <w:t xml:space="preserve">&amp; </w:t>
      </w:r>
      <w:r w:rsidRPr="00C2727A">
        <w:rPr>
          <w:rFonts w:ascii="Times New Roman" w:eastAsia="Times New Roman" w:hAnsi="Times New Roman" w:cs="Times New Roman"/>
          <w:color w:val="000000"/>
          <w:sz w:val="24"/>
          <w:szCs w:val="24"/>
        </w:rPr>
        <w:t xml:space="preserve">Panton, 2018) </w:t>
      </w:r>
      <w:r w:rsidRPr="008D21F4">
        <w:rPr>
          <w:rFonts w:ascii="Times New Roman" w:eastAsia="Times New Roman" w:hAnsi="Times New Roman" w:cs="Times New Roman"/>
          <w:color w:val="000000"/>
          <w:sz w:val="24"/>
          <w:szCs w:val="24"/>
        </w:rPr>
        <w:t xml:space="preserve">There is a significant association between lifestyle choices such as little to no physical activity, poor nutritional habits, and high body mass index that can contribute to the development of diabetes as well as increase patients with diabetes chances of developing diabetic complications. It is also well known that unhealthy lifestyles are contributing agents for type </w:t>
      </w:r>
      <w:r>
        <w:rPr>
          <w:rFonts w:ascii="Times New Roman" w:eastAsia="Times New Roman" w:hAnsi="Times New Roman" w:cs="Times New Roman"/>
          <w:color w:val="000000"/>
          <w:sz w:val="24"/>
          <w:szCs w:val="24"/>
        </w:rPr>
        <w:t>II</w:t>
      </w:r>
      <w:r w:rsidRPr="008D21F4">
        <w:rPr>
          <w:rFonts w:ascii="Times New Roman" w:eastAsia="Times New Roman" w:hAnsi="Times New Roman" w:cs="Times New Roman"/>
          <w:color w:val="000000"/>
          <w:sz w:val="24"/>
          <w:szCs w:val="24"/>
        </w:rPr>
        <w:t xml:space="preserve"> diabetes onset as well as complications. Obesity, sedentary lifestyle, and poor nutritional habits are all modifiable risk factors.</w:t>
      </w:r>
    </w:p>
    <w:p w14:paraId="5506988E"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ab/>
        <w:t>Diabetes is an extremely costly disease. In 2012, about $245 billion was spent on the diagnosis of diabetes, while $176 billion was used to treat diabetic patients ("CDC Press Releases," 2019). Diabetes is on the rise, and better management is clearly in need.</w:t>
      </w:r>
      <w:r>
        <w:rPr>
          <w:rFonts w:ascii="Times New Roman" w:eastAsia="Times New Roman" w:hAnsi="Times New Roman" w:cs="Times New Roman"/>
          <w:color w:val="000000"/>
          <w:sz w:val="24"/>
          <w:szCs w:val="24"/>
        </w:rPr>
        <w:t xml:space="preserve"> </w:t>
      </w:r>
      <w:r w:rsidRPr="008D21F4">
        <w:rPr>
          <w:rFonts w:ascii="Times New Roman" w:eastAsia="Times New Roman" w:hAnsi="Times New Roman" w:cs="Times New Roman"/>
          <w:color w:val="000000"/>
          <w:sz w:val="24"/>
          <w:szCs w:val="24"/>
        </w:rPr>
        <w:t xml:space="preserve">The prevalence of new cases increased sharply from the 1990s in the United States (CDC Report, 2019). The quantity of adults living with diabetes has continued to rise. This proposal refines the PICOT question that states that in type </w:t>
      </w:r>
      <w:r>
        <w:rPr>
          <w:rFonts w:ascii="Times New Roman" w:eastAsia="Times New Roman" w:hAnsi="Times New Roman" w:cs="Times New Roman"/>
          <w:color w:val="000000"/>
          <w:sz w:val="24"/>
          <w:szCs w:val="24"/>
        </w:rPr>
        <w:t>II</w:t>
      </w:r>
      <w:r w:rsidRPr="008D21F4">
        <w:rPr>
          <w:rFonts w:ascii="Times New Roman" w:eastAsia="Times New Roman" w:hAnsi="Times New Roman" w:cs="Times New Roman"/>
          <w:color w:val="000000"/>
          <w:sz w:val="24"/>
          <w:szCs w:val="24"/>
        </w:rPr>
        <w:t xml:space="preserve"> diabetic patients (P), does receiving a personalized nutritional plan (I), compared to those who do not receive an individualized dietary plan (C) have a lower rate of hospital readmission (O), within six months of discharge (T).</w:t>
      </w:r>
    </w:p>
    <w:p w14:paraId="613876BB" w14:textId="77777777" w:rsidR="0053742B"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    </w:t>
      </w:r>
      <w:r w:rsidR="001F0EC6">
        <w:rPr>
          <w:rFonts w:ascii="Times New Roman" w:eastAsia="Times New Roman" w:hAnsi="Times New Roman" w:cs="Times New Roman"/>
          <w:color w:val="000000"/>
          <w:sz w:val="24"/>
          <w:szCs w:val="24"/>
        </w:rPr>
        <w:tab/>
      </w:r>
      <w:r w:rsidRPr="008D21F4">
        <w:rPr>
          <w:rFonts w:ascii="Times New Roman" w:eastAsia="Times New Roman" w:hAnsi="Times New Roman" w:cs="Times New Roman"/>
          <w:color w:val="000000"/>
          <w:sz w:val="24"/>
          <w:szCs w:val="24"/>
        </w:rPr>
        <w:t xml:space="preserve">Type II diabetes seems to affect individuals proportionately. The percentage of diagnosed adults depicted 6.6% non-Hispanic White, 11.8% non-Hispanic Black, 10.4% Hispanic, and 7.5% Asian. Its' prevalence rises incredibly throughout the following half-century. Alongside the </w:t>
      </w:r>
      <w:r w:rsidRPr="008D21F4">
        <w:rPr>
          <w:rFonts w:ascii="Times New Roman" w:eastAsia="Times New Roman" w:hAnsi="Times New Roman" w:cs="Times New Roman"/>
          <w:color w:val="000000"/>
          <w:sz w:val="24"/>
          <w:szCs w:val="24"/>
        </w:rPr>
        <w:lastRenderedPageBreak/>
        <w:t xml:space="preserve">incidence of diabetes, both personal as well as cultural desires regarding the administration of diabetes have also expanded, with numerous findings from The Centers for Disease Control (CDC), US Department of Health and Human Services, together the National Institutes of Health (NIH) encouraging individuals to "Assume responsibility for Your Diabetes" and "Manage diabetes". One of the fundamental objectives of USDHHS's report, Healthy People 2010, is to enhance the personal satisfaction for diabetic patients (CDC Report, 2019). </w:t>
      </w:r>
    </w:p>
    <w:p w14:paraId="791756B9" w14:textId="19989AB5" w:rsidR="009E5044" w:rsidRPr="008D21F4" w:rsidRDefault="0053742B" w:rsidP="009E5044">
      <w:pP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9E5044" w:rsidRPr="008D21F4">
        <w:rPr>
          <w:rFonts w:ascii="Times New Roman" w:eastAsia="Times New Roman" w:hAnsi="Times New Roman" w:cs="Times New Roman"/>
          <w:color w:val="000000"/>
          <w:sz w:val="24"/>
          <w:szCs w:val="24"/>
        </w:rPr>
        <w:t>Assuming responsibility for managing diabetic patients has put the focus on the need for more help and training for diabetic type 2 patients. Although new medications and techniques have been used to control the prevalence of diabetes, the difficulties of diabetes self-administration are still there. Improvements in self-administration thus need to be well implemented to manage the illness. Diabetes type 2 is a devastating illness that can be easily managed through a personalized nutritional plan to manage the condition. Personalized nutritional plans entail checking blood glucose levels, proper medication, the use of individualized dietary programs, and consistently working out (Torouhi, Misra, Mohan, Taylor, &amp; Yancy, 2018).</w:t>
      </w:r>
    </w:p>
    <w:p w14:paraId="0F6700EE" w14:textId="6BABE1E8"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   </w:t>
      </w:r>
      <w:r w:rsidR="001F0EC6">
        <w:rPr>
          <w:rFonts w:ascii="Times New Roman" w:eastAsia="Times New Roman" w:hAnsi="Times New Roman" w:cs="Times New Roman"/>
          <w:color w:val="000000"/>
          <w:sz w:val="24"/>
          <w:szCs w:val="24"/>
        </w:rPr>
        <w:tab/>
      </w:r>
      <w:r w:rsidRPr="008D21F4">
        <w:rPr>
          <w:rFonts w:ascii="Times New Roman" w:eastAsia="Times New Roman" w:hAnsi="Times New Roman" w:cs="Times New Roman"/>
          <w:color w:val="000000"/>
          <w:sz w:val="24"/>
          <w:szCs w:val="24"/>
        </w:rPr>
        <w:t xml:space="preserve"> Nutrition has been recognized as a critical feature in treating diabetic patients. The American Diabetes Association (ADA) released a report on the relevance of a personalized nutritional plan to manage type 2 diabetic patients (Sharkey, 2019). The primary aim of the individualized dietary plan is to promote healthy foods and proper eating plans to enhance control of glycemia and other risk factors to reduce the rate of hospital readmissions. The personalized nutritional program also aims at the achievement of clinically acceptable weight gain and weight loss. Recognizing the comparative evidence in favor of the use of individualized dietary plans for type 2 diabetic patients, health care providers, and health researchers emphasize general recommendations such as a proper portion of foods for patient's weight gain and weight loss targets </w:t>
      </w:r>
      <w:r w:rsidRPr="008D21F4">
        <w:rPr>
          <w:rFonts w:ascii="Times New Roman" w:eastAsia="Times New Roman" w:hAnsi="Times New Roman" w:cs="Times New Roman"/>
          <w:color w:val="000000"/>
          <w:sz w:val="24"/>
          <w:szCs w:val="24"/>
        </w:rPr>
        <w:lastRenderedPageBreak/>
        <w:t xml:space="preserve">for overweight patients (Oreinstein, 2017). As a result, there exists a difference between patients who utilize personalized nutritional plans over a given period compared to patients who do not follow the program. </w:t>
      </w:r>
    </w:p>
    <w:p w14:paraId="7D9B588A" w14:textId="77777777" w:rsidR="009E5044" w:rsidRPr="008D21F4" w:rsidRDefault="009E5044" w:rsidP="009E5044">
      <w:pPr>
        <w:shd w:val="clear" w:color="auto" w:fill="FFFFFF"/>
        <w:spacing w:after="0" w:line="480" w:lineRule="auto"/>
        <w:jc w:val="center"/>
        <w:rPr>
          <w:rFonts w:ascii="Times New Roman" w:eastAsia="Times New Roman" w:hAnsi="Times New Roman" w:cs="Times New Roman"/>
          <w:b/>
          <w:bCs/>
          <w:color w:val="000000"/>
          <w:sz w:val="24"/>
          <w:szCs w:val="24"/>
        </w:rPr>
      </w:pPr>
      <w:r w:rsidRPr="008D21F4">
        <w:rPr>
          <w:rFonts w:ascii="Times New Roman" w:eastAsia="Times New Roman" w:hAnsi="Times New Roman" w:cs="Times New Roman"/>
          <w:b/>
          <w:bCs/>
          <w:color w:val="000000"/>
          <w:sz w:val="24"/>
          <w:szCs w:val="24"/>
        </w:rPr>
        <w:t>Research Summary</w:t>
      </w:r>
    </w:p>
    <w:p w14:paraId="4BA09B2C" w14:textId="77777777" w:rsidR="009E5044" w:rsidRPr="008D21F4" w:rsidRDefault="009E5044" w:rsidP="009E5044">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Objective: This survey expected to decide whether the utilization of personalized nutritional plans to manage patients with type 2 diabetes, mediation, examination, result (PICOT) model as a search strategy apparatus influences the nature of the literature review. </w:t>
      </w:r>
    </w:p>
    <w:p w14:paraId="6B6DB655"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Methods: An extensive writing search was led in PubMed, Embase, CINAHL, PsycINFO, Cochrane Library, National Library of Medicine National Institutes of Health, America Diabetes Association (ADA), and Centers for Disease Control and Prevention as well as in the BMJ Journal Library. Reference records were examined, and reference searches were performed on the included examinations. The essential result was the nature of the literature search, and the optional result was time spent on the writing search when the PICOT model was utilized as a pursuit technique instrument, contrasted with the utilization of another conceptualizing device or unguided searching. </w:t>
      </w:r>
    </w:p>
    <w:p w14:paraId="6AF8C26D" w14:textId="77777777" w:rsidR="009E5044" w:rsidRPr="008D21F4" w:rsidRDefault="009E5044" w:rsidP="009E5044">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Subjects: A sum of 22 records were distinguished, and after the evacuation of copies and beginning screening, eight full-content articles were evaluated. The included investigations contrasted PICOT with the PIC truncation or connections to related articles in PubMed, PICOT, and sample, plan, assessment, and research type. </w:t>
      </w:r>
    </w:p>
    <w:p w14:paraId="6447D0FF"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Research Findings: Only a couple of studies exist that survey the impact of the PICOT model versus other accessible models or even opposite the utilization of no model. Before suggestions for the research practice can be drawn, well-structured examinations are expected to assess the role of the instrument used to devise an inquiry technique.</w:t>
      </w:r>
    </w:p>
    <w:p w14:paraId="47952948" w14:textId="644FE0BC" w:rsidR="009E5044" w:rsidRPr="006223AA" w:rsidRDefault="009E5044" w:rsidP="006223AA">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lastRenderedPageBreak/>
        <w:t>Limitations: One investigation contrasted PICOT with unguided searching. Because of contrasts in mediation and hence, no quantit</w:t>
      </w:r>
      <w:r w:rsidR="008B43FC">
        <w:rPr>
          <w:rFonts w:ascii="Times New Roman" w:eastAsia="Times New Roman" w:hAnsi="Times New Roman" w:cs="Times New Roman"/>
          <w:color w:val="000000"/>
          <w:sz w:val="24"/>
          <w:szCs w:val="24"/>
        </w:rPr>
        <w:t>ative examination was performed.</w:t>
      </w:r>
    </w:p>
    <w:p w14:paraId="3C1BB889" w14:textId="5A8EB2DF" w:rsidR="00074D5D" w:rsidRDefault="00074D5D" w:rsidP="008B43F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Section </w:t>
      </w:r>
      <w:r w:rsidR="001F0EC6">
        <w:rPr>
          <w:rFonts w:ascii="Times New Roman" w:hAnsi="Times New Roman" w:cs="Times New Roman"/>
          <w:b/>
          <w:sz w:val="24"/>
          <w:szCs w:val="24"/>
        </w:rPr>
        <w:t>C: Solution Description</w:t>
      </w:r>
    </w:p>
    <w:p w14:paraId="472F0C9D" w14:textId="4230EFF7" w:rsidR="009E5044" w:rsidRPr="006223AA" w:rsidRDefault="009E5044" w:rsidP="008B43FC">
      <w:pPr>
        <w:spacing w:line="480" w:lineRule="auto"/>
        <w:jc w:val="center"/>
        <w:rPr>
          <w:rFonts w:ascii="Times New Roman" w:hAnsi="Times New Roman" w:cs="Times New Roman"/>
          <w:b/>
          <w:sz w:val="24"/>
          <w:szCs w:val="24"/>
        </w:rPr>
      </w:pPr>
      <w:r w:rsidRPr="006223AA">
        <w:rPr>
          <w:rFonts w:ascii="Times New Roman" w:hAnsi="Times New Roman" w:cs="Times New Roman"/>
          <w:b/>
          <w:sz w:val="24"/>
          <w:szCs w:val="24"/>
        </w:rPr>
        <w:t>Personalized Nutritional Plans to Control Diabetes Type 2</w:t>
      </w:r>
    </w:p>
    <w:p w14:paraId="7303B454"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t>Proposed Solution</w:t>
      </w:r>
    </w:p>
    <w:p w14:paraId="7029FDCA"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Type II diabetes is a disease that can be attributed to external forces and lifestyle habits. This implies that type II diabetes can be controlled using relatively simple lifestyles and dietary plans that aim at stabilizing individuals' blood sugar levels. Through personalized nutritional programs, type II diabetes can be controlled and even prevented. Personalized nutritional elements are all around perceived supporters of chronic diseases, including coronary illness, stroke, type II diabetes, and disease. In spite of the known connection between dietary examples and ailment, mediations to adjust dietary propensities and to improve general wellbeing and prosperity have had restricted affect. Personalization of diet plans might be progressively successful in changing conduct that will influence wellbeing results (Viswanathan et al., 2019). This paper considers the evidence for personalized nutrition plans in patients with type II diabetes as a way of reducing the rate of hospital readmissions within six months of discharge. </w:t>
      </w:r>
    </w:p>
    <w:p w14:paraId="15FA1137"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Research by Jose Ordovas and a group of professors, personalized nutritional interventions partially overlaps with precision nutrition and nutritional genomics (Ordovas, Ferguson, Tai, &amp; Mathers, 2018). The main aim of this intervention plan is to preserve or increase health using dietary products and services. Personalized nutritional plans can be based on the analysis of current behavior, objectives, preferences, and delivery of interventions that motivate and enable patients to make appropriate changes in their eating patterns. Sylvia Hey, Osama Hamdy, V </w:t>
      </w:r>
      <w:r w:rsidRPr="008B43FC">
        <w:rPr>
          <w:rFonts w:ascii="Times New Roman" w:hAnsi="Times New Roman" w:cs="Times New Roman"/>
          <w:sz w:val="24"/>
          <w:szCs w:val="24"/>
        </w:rPr>
        <w:lastRenderedPageBreak/>
        <w:t>Mohan and Frank Hu, diets rich in entire grains, natural products, vegetables, vegetables, nuts, and lower in refined grains, red meat, and sugar-improved refreshments will exhibit to decrease diabetes chance and improve glycemic control and blood lipids in patients with diabetes (Hey, Hamdy, Mohan, &amp; Hu, 2016). Examples of personalized nutritional plans underlining the general eating patterns quality should be adjusted to fit the individual, social nourishment inclinations, calorie requirements for weight control, and diabetes aversion and management.</w:t>
      </w:r>
    </w:p>
    <w:p w14:paraId="357334F0"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t>Organizational Culture</w:t>
      </w:r>
    </w:p>
    <w:p w14:paraId="1FC29961"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Currently, the facility I work in does not provide personalized dietary teaching for patients who are suffering from diabetes, nor does it tailor educational pamphlets and teaching to the individual. The proposed solutions are not consistent with the community culture and resources. Despite this, personalized nutrition might be seen as instrumental and beneficial to both the facility and the patients it serves. </w:t>
      </w:r>
    </w:p>
    <w:p w14:paraId="0782EEF1"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t>Expected Outcome</w:t>
      </w:r>
    </w:p>
    <w:p w14:paraId="451538B7"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Personalized nutritional plans will integrate with the adjustment in bioscience and general wellbeing programs towards prevention instead of alleviating the existing infection. Reaction to nourishment will be variable since it has various structures. These will entail differential responses in plasma cholesterol concentrations to dietary concentrated fat consumption, nourishment hypersensitivities, or increasingly severe forms like phenylketonuria and other inalienable blunders of digestion. Additionally, personalized nutritional plans might be appropriate for some key elements, for example, age (adolescent, old, youngster, grown-up), phase of life (pregnant, lactating, and so on), sex, BMI, sickness or wellbeing status, ethnicity, </w:t>
      </w:r>
      <w:r w:rsidRPr="008B43FC">
        <w:rPr>
          <w:rFonts w:ascii="Times New Roman" w:hAnsi="Times New Roman" w:cs="Times New Roman"/>
          <w:sz w:val="24"/>
          <w:szCs w:val="24"/>
        </w:rPr>
        <w:lastRenderedPageBreak/>
        <w:t>and social or strict foundations that manage specific dietary plans (Hey, Hamdy, Mohan, &amp; Hu, 2016).</w:t>
      </w:r>
    </w:p>
    <w:p w14:paraId="5A2DA1EA"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This intervention will promote the health of patients, including and settling on them mindful of their dietary decisions as well as reducing hospital readmissions within six months of discharge. The intervention program will offer specific recommendations to the type 2 diabetic patients on the right food for them to avoid more severe disorders like obesity that might lead to readmission of the patients. The program will also enhance the adoption of personalized dietary strategies to the needs of each patient's needs, preferences, and body weight to enable the patients to focus and maintain self-discipline in controlling fat and calorie intake. </w:t>
      </w:r>
    </w:p>
    <w:p w14:paraId="23A97B41"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t>Methods to Achieve Outcome</w:t>
      </w:r>
    </w:p>
    <w:p w14:paraId="37EA4002"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During the program, a few devices may be used to control body weight and keep up glucose within normal ranges. Dietary propensities and practices, anthropometric and endocrinal-metabolic parameters, will be surveyed previously and toward the end of the exercises in members to contemplate the impacts of the intervention (Hey, Hamdy, Mohan, &amp; Hu, 2016). An effective follow-up process should also be put in place to ensure that the patients follow their plans for better results. The expected outcome can also be achieved through organizing community awareness programs to educate the community of the best techniques to control type II diabetes and reduce hospital readmissions. However, there might be cultural barriers in the community, as most communities argue that food is cultural and not nutritional. Some people may not take into consideration the proposed solution since they eat what they can afford and what society has to offer. It will also be hard to keep following up on each patient while they are at home. </w:t>
      </w:r>
    </w:p>
    <w:p w14:paraId="30A66CF0"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lastRenderedPageBreak/>
        <w:t>Outcome Impact</w:t>
      </w:r>
    </w:p>
    <w:p w14:paraId="023D45E7" w14:textId="03AF519D" w:rsidR="00230292" w:rsidRPr="00230292" w:rsidRDefault="009E5044" w:rsidP="00230292">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Quality care improvement can be achieved when type II diabetic patients effectively use personalized nutritional plans. The health of the patients will improve as the blood sugar levels are stabilized by the diets (Ordovas, Ferguson, Tai, &amp; Mathers, 2018).  Decreasing hospital readmission rates not only means improved quality of care, optimized health for these individuals but increased saving for the patient and the facility. Reduced hospital readmissions may also reduce the chances of acquiring other hospitals –acquired infections that may affect their wellbeing. Patient-centered care can increase satisfaction with care, behavioral, and clinical outcomes and reduce the utilization of medical services to control diabetes. A personalized nutritional plan thus will have the ability to minimize the use of clinical services to control type II diabetes. The efficiency of the process will be achieved due to the team of dedicated and quality dietary plans provided by the clinicians to the patients. The program will require the collaboration of patients, their families, and professionals with expertise in diabetes to create a dietary plan that will enhance the patient's habits and control their blood sugar levels.</w:t>
      </w:r>
    </w:p>
    <w:p w14:paraId="2373C67F" w14:textId="46F18F85" w:rsidR="00074D5D" w:rsidRDefault="00074D5D" w:rsidP="00237E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Section D</w:t>
      </w:r>
    </w:p>
    <w:p w14:paraId="68677326" w14:textId="29E88F57" w:rsidR="009E5044" w:rsidRDefault="009E5044" w:rsidP="00237EDC">
      <w:pPr>
        <w:spacing w:line="480" w:lineRule="auto"/>
        <w:jc w:val="center"/>
        <w:rPr>
          <w:rFonts w:ascii="Times New Roman" w:hAnsi="Times New Roman" w:cs="Times New Roman"/>
          <w:b/>
          <w:sz w:val="24"/>
          <w:szCs w:val="24"/>
        </w:rPr>
      </w:pPr>
      <w:r w:rsidRPr="00237EDC">
        <w:rPr>
          <w:rFonts w:ascii="Times New Roman" w:hAnsi="Times New Roman" w:cs="Times New Roman"/>
          <w:b/>
          <w:sz w:val="24"/>
          <w:szCs w:val="24"/>
        </w:rPr>
        <w:t>Evidence Based Practice Proposal: Change Model</w:t>
      </w:r>
    </w:p>
    <w:p w14:paraId="63B95A96"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Roger’s Diffusion of Innovation Theory</w:t>
      </w:r>
    </w:p>
    <w:p w14:paraId="58D507E7"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Introduction</w:t>
      </w:r>
    </w:p>
    <w:p w14:paraId="48F4F651" w14:textId="59CFD8D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The diffusion innovation theory seeks to investigate how people receive the innovation, change, and how they decide to adopt it. Both broad communications and relational correspondence direct is associated with the dissemination procedure. The theory intensely depends on Human capital. According to this concept, innovations need to be generally received </w:t>
      </w:r>
      <w:r w:rsidRPr="00122EE6">
        <w:rPr>
          <w:rFonts w:ascii="Times New Roman" w:eastAsia="Times New Roman" w:hAnsi="Times New Roman" w:cs="Times New Roman"/>
          <w:color w:val="000000"/>
          <w:sz w:val="24"/>
          <w:szCs w:val="24"/>
        </w:rPr>
        <w:lastRenderedPageBreak/>
        <w:t>to achieve improvement and maintainability (Mohammadi, Poursaberi, &amp; Salahshoor, 2018). Rogers proposed five stages that identify the mechanism of diffusion of innovation theory. These stages include the knowledge stage, persuasion stage, decision stage, implementation stage, and confirmation stage. This paper looks into the implementation of the proposed solution towards treating patients with type II diabetes in regard to the diffusion innovation concept</w:t>
      </w:r>
    </w:p>
    <w:p w14:paraId="789A57AA"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Knowledge Stage</w:t>
      </w:r>
    </w:p>
    <w:p w14:paraId="54221795"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 People may lack to portray interest in innovation due to a lack of data or knowledge. Therefore, it is crucial to create sufficient awareness of the population and inspire the target population in adopting the proposed solution. The proposed solution in the project involves the use of a personalized nutritional plan to control type II diabetes. Individuals living with type II diabetes and the supporting society should be made aware of the proposed solution and its relevance in managing the patients to reduce hospital readmissions within six months after being discharged from a health facility.</w:t>
      </w:r>
    </w:p>
    <w:p w14:paraId="3AEF8EAA"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Persuasion Stage</w:t>
      </w:r>
    </w:p>
    <w:p w14:paraId="1340D9F1"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The persuasion stage is the second stage of diffusion innovation theory. The persuasion stage is essential in situations where a certain percentage in society develops a negative perception of the proposed solution. This stage entails giving and receiving of clarifications on the information provided to the population. A good percentage in the society may also develop an interest and seek clarifications on the relevance and the effectiveness of proposed nutritional plans to manage type II diabetic patients in the society ("Diffusion of Innovation Theory," 2014). Patients may also want the nurses to draft an effective personalized nutritional plan for their patients for better health results. </w:t>
      </w:r>
    </w:p>
    <w:p w14:paraId="39F59F49"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lastRenderedPageBreak/>
        <w:t>Decision Stage</w:t>
      </w:r>
    </w:p>
    <w:p w14:paraId="1EEC77DB"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Rogers argues that the decision stage entails individual analysis of the positive and the negative impact of the proposed solution to determine whether to adopt it or not (Harvey &amp; Kitson, 2015). It, therefore, requires the nurse to provide essential knowledge and persuade the population in the initial stages for the population to accept the innovation. The population needs to decide whether to adopt the personalized nutritional plans based on the amount of information provided by the nurses. The effectiveness of the personalized plan may influence the decision of the people to adopt the plan and eventually lead to reduced hospital readmissions within six months after discharge.</w:t>
      </w:r>
    </w:p>
    <w:p w14:paraId="70BED935"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Implementation Stage</w:t>
      </w:r>
    </w:p>
    <w:p w14:paraId="649FBF7C"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The implementation stage entails a process where a person takes some effort to look into the dependence of the innovation and gather more data about the effectiveness of the proposed solution. Once the people decide to adopt the proposed solution, the target population will implement the personalized nutritional plan to manage type 2 diabetic patients and reduce their hospital readmission within six months of discharge. This phase is very critical since it requires people to consider the process in detail to deliver quality experience significantly. The implementation of the proposed solution is determined by the effectiveness of the previous stages, including knowledge, persuasion, and decision on adoption or rejection of the solution ("Diffusion of Innovation Theory," 2014). </w:t>
      </w:r>
    </w:p>
    <w:p w14:paraId="5F81F45A"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Confirmation Stage</w:t>
      </w:r>
    </w:p>
    <w:p w14:paraId="178807A6"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Confirmation is the last stage in the diffusion innovation theory that allows people to conform or finalize their decision and continue to use the proposed solution with full potential </w:t>
      </w:r>
      <w:r w:rsidRPr="00122EE6">
        <w:rPr>
          <w:rFonts w:ascii="Times New Roman" w:eastAsia="Times New Roman" w:hAnsi="Times New Roman" w:cs="Times New Roman"/>
          <w:color w:val="000000"/>
          <w:sz w:val="24"/>
          <w:szCs w:val="24"/>
        </w:rPr>
        <w:lastRenderedPageBreak/>
        <w:t>(Rudd &amp; Simonds, 2018). However, not all innovations may reach this stage due to the rejection of innovation. At this point, the nurses evaluate the decision of the people and decide whether they should continue to utilize the proposed solution. The nurses will also examine personalized nutritional plans and seek confirmation from other healthcare providers and stakeholders.</w:t>
      </w:r>
    </w:p>
    <w:p w14:paraId="589A34CF"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Conclusion</w:t>
      </w:r>
    </w:p>
    <w:p w14:paraId="27844F2F" w14:textId="77777777" w:rsidR="00A21EA4" w:rsidRDefault="009E5044" w:rsidP="00A21EA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In conclusion, Roger’s theory of diffusion of innovation can be continually used by understanding how individuals will accept and get used to personalized nutritional plans to help manage type II diabetes and reduce hospital readmissions within six months of discharge. Through the five distinct stages, the nurse can effectively apply the theory to carry out the evidence-based project and give a comprehensive picture as to how individuals implement the proposed solution. The theory is thus essential in the spreading of innovations that benefit the society at large (Harvey &amp; Kitson, 2015). </w:t>
      </w:r>
    </w:p>
    <w:p w14:paraId="5987C47D" w14:textId="720BC89F" w:rsidR="00230292" w:rsidRDefault="00230292" w:rsidP="00A21E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Section E</w:t>
      </w:r>
      <w:r w:rsidR="00233B6E">
        <w:rPr>
          <w:rFonts w:ascii="Times New Roman" w:hAnsi="Times New Roman" w:cs="Times New Roman"/>
          <w:b/>
          <w:sz w:val="24"/>
          <w:szCs w:val="24"/>
        </w:rPr>
        <w:t>: Implementation Plan</w:t>
      </w:r>
    </w:p>
    <w:p w14:paraId="7ADB490A" w14:textId="19DE8B54" w:rsidR="009E5044" w:rsidRPr="00A21EA4" w:rsidRDefault="009E5044" w:rsidP="00A21EA4">
      <w:pPr>
        <w:spacing w:line="480" w:lineRule="auto"/>
        <w:jc w:val="center"/>
        <w:rPr>
          <w:rFonts w:ascii="Times New Roman" w:hAnsi="Times New Roman" w:cs="Times New Roman"/>
          <w:b/>
          <w:sz w:val="24"/>
          <w:szCs w:val="24"/>
        </w:rPr>
      </w:pPr>
      <w:r w:rsidRPr="00A21EA4">
        <w:rPr>
          <w:rFonts w:ascii="Times New Roman" w:hAnsi="Times New Roman" w:cs="Times New Roman"/>
          <w:b/>
          <w:sz w:val="24"/>
          <w:szCs w:val="24"/>
        </w:rPr>
        <w:t>Methods Applied in Implementation of Personalized Nutritional Plans</w:t>
      </w:r>
    </w:p>
    <w:p w14:paraId="498E02F6"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Setting and Access</w:t>
      </w:r>
    </w:p>
    <w:p w14:paraId="68147ACB"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 The proposed solution for this program is to utilize personalized nutritional plans for type II diabetic patients and reduce the rate of hospital readmissions within six months. The target group in this study will be noninsured individuals who seek medical treatment at a county hospital. The majority of this population is Hispanic. This non-insured community is of lower economic status; hence, they do not have access to regular medical treatment. The individuals in this population will be seen in a hospital setting to allow providers to have closer monitoring and assessing the impact of the intervention. The patients will be required to sign an informed </w:t>
      </w:r>
      <w:r w:rsidRPr="00404EAD">
        <w:rPr>
          <w:rFonts w:ascii="Times New Roman" w:hAnsi="Times New Roman" w:cs="Times New Roman"/>
          <w:sz w:val="24"/>
          <w:szCs w:val="24"/>
        </w:rPr>
        <w:lastRenderedPageBreak/>
        <w:t>consent to participate in the program. The patient consent form will be necessary for informing these individuals about the treatment plans, their involvement in the intervention program, the benefits of participating, and the possible risks.</w:t>
      </w:r>
    </w:p>
    <w:p w14:paraId="74B7BF5F"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Timeline</w:t>
      </w:r>
    </w:p>
    <w:p w14:paraId="4835827E"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The program will be conducted within 8months, where the first two months will involve the planning and training of all pertinent members. This is because there are many facets to be considered. The facility needs to pan on the recruitment of the individuals to participate and consider other collaboration elements of the partners to the program.</w:t>
      </w:r>
    </w:p>
    <w:p w14:paraId="47DBF3AA"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Resources</w:t>
      </w:r>
    </w:p>
    <w:p w14:paraId="5C1F9D1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There are various essential resources to be utilized in the program. For instance, human resources are the primary resources crucial to the success of the project. This is about having doctors, nurses, and nutritionists to make sure the program is implemented effectively and efficiently towards a positive outcome of the project. The research management team is also required to give way forward towards program implementation. The research management team will need adequate finance to run the program for six months. Doctors, nurses, and nutritionists will require several clinical tools, including dietary assessment tools, custom nutritional plans, access to laboratory blood tests, and dietary supplements alongside training and educational material where necessary.</w:t>
      </w:r>
    </w:p>
    <w:p w14:paraId="43D98CFC"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Methods and Instruments</w:t>
      </w:r>
    </w:p>
    <w:p w14:paraId="0C028A66"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This program will incorporate monitoring and evaluation as the critical methods of measuring the effectiveness and the efficiency of the utilization of personalized nutritional plan. The project will be monitored through regular blood glucose monitoring of the participants. This is done to control the various readings made from the beginning of the program until the end of </w:t>
      </w:r>
      <w:r w:rsidRPr="00404EAD">
        <w:rPr>
          <w:rFonts w:ascii="Times New Roman" w:hAnsi="Times New Roman" w:cs="Times New Roman"/>
          <w:sz w:val="24"/>
          <w:szCs w:val="24"/>
        </w:rPr>
        <w:lastRenderedPageBreak/>
        <w:t xml:space="preserve">the sixth month to determine the efficiency of the personalized nutritional plans. Blood sugar levels will also be monitored through A1C testing, to reflect on the average body sugar level of the patient after every three months (Ordovas, Ferguson, Tai, &amp; Mathers, 2018). The program will also evaluate the rate of hospital readmissions within six months of the project's implementation. Both monitoring and evaluation are essential in project implementation as they provide the researcher and the healthcare providers with a planning guide, to allocate resources and implement the program (Fallaize, Franco, Lovegrove, &amp; Hwang, 2019). </w:t>
      </w:r>
    </w:p>
    <w:p w14:paraId="58841F47"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Process of Delivering the Solution</w:t>
      </w:r>
    </w:p>
    <w:p w14:paraId="5FB0D7C9"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Personalized nutritional plans will be applied in two different ways: firstly, for the dietary management of patients with type II diabetes who need nutritional support to reduce their blood sugar levels (Ordovas, Ferguson, Tai, &amp; Mathers, 2018). Secondly, a personalized dietary plan will be applied for the development of more effective solutions towards improving their overall health within the six-month time frame, helping reduce hospital readmissions. A dietician will be required to provide essential dietary plans and recipes to the participants and monitor their eating habits.  Patients will be trained on how to follow the nutritional programs and take care of their health and manage their sugar levels. Healthcare practitioners will also be trained on how to administer proper diets to help these patients manage their blood glucose levels.</w:t>
      </w:r>
    </w:p>
    <w:p w14:paraId="1E531090"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Data collection plan</w:t>
      </w:r>
    </w:p>
    <w:p w14:paraId="73AF3648"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to be collected</w:t>
      </w:r>
    </w:p>
    <w:p w14:paraId="23C25D6C"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This study will involve data collection over a given number of patients who are the primary beneficiaries in this program (Food and Agriculture Organization of the United Nations, 2018). Here, we will determine what data is essential and what information is not available for the implementation of the program. </w:t>
      </w:r>
    </w:p>
    <w:p w14:paraId="7286B60C"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lastRenderedPageBreak/>
        <w:t>Source and type of data</w:t>
      </w:r>
    </w:p>
    <w:p w14:paraId="3502E4F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Data will be collected on the participants through several methods. The patients will be interviewed to help collect feedback on the proposed solution (Sajjad, 2016). The target population used is economically disadvantaged; hence, they will provide their input on the cost efficiency of the proposed solution.  Statistical data will be collected from the participants' laboratory results.</w:t>
      </w:r>
    </w:p>
    <w:p w14:paraId="4B15D1AF"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Collection Schedule</w:t>
      </w:r>
    </w:p>
    <w:p w14:paraId="1F1A0224"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At this stage, the researcher will note the different days and times when he will be required to conduct interviews, collect questionnaires, and conduct monitoring and evaluation. The researcher will also ensure that the questionnaires are filled well and then compile them for data analysis. </w:t>
      </w:r>
    </w:p>
    <w:p w14:paraId="43D0D135"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Follow up schedules</w:t>
      </w:r>
    </w:p>
    <w:p w14:paraId="3CF6A596"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 Follow up schedules will enable the researcher to come up with a more effective solution to the problem affecting the target group (Sajjad, 2016). At this point, the researcher looks at the alternatives, makes changes to the proposed plan, and monitors the progress of the program. The participants will be seen at the facilities clinic once a week. </w:t>
      </w:r>
    </w:p>
    <w:p w14:paraId="5D3B4255"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Storage plan</w:t>
      </w:r>
    </w:p>
    <w:p w14:paraId="456CA4B9"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At this stage, the researcher will plan on how to store the collected data, including source documentation (Sajjad, 2016). For instance, initial and post-test results on blood sugar levels will be entered in an excel spreadsheet alongside the patient identifiers and saved on the facility secure file server to ensure participant's privacy and confidentiality. </w:t>
      </w:r>
    </w:p>
    <w:p w14:paraId="48800B18" w14:textId="77777777" w:rsidR="007C6E28" w:rsidRDefault="007C6E28" w:rsidP="009E5044">
      <w:pPr>
        <w:shd w:val="clear" w:color="auto" w:fill="FFFFFF"/>
        <w:spacing w:after="0" w:line="480" w:lineRule="auto"/>
        <w:rPr>
          <w:rFonts w:ascii="Times New Roman" w:hAnsi="Times New Roman" w:cs="Times New Roman"/>
          <w:b/>
          <w:bCs/>
          <w:sz w:val="24"/>
          <w:szCs w:val="24"/>
        </w:rPr>
      </w:pPr>
    </w:p>
    <w:p w14:paraId="73366F75" w14:textId="77777777" w:rsidR="007C6E28" w:rsidRDefault="007C6E28" w:rsidP="009E5044">
      <w:pPr>
        <w:shd w:val="clear" w:color="auto" w:fill="FFFFFF"/>
        <w:spacing w:after="0" w:line="480" w:lineRule="auto"/>
        <w:rPr>
          <w:rFonts w:ascii="Times New Roman" w:hAnsi="Times New Roman" w:cs="Times New Roman"/>
          <w:b/>
          <w:bCs/>
          <w:sz w:val="24"/>
          <w:szCs w:val="24"/>
        </w:rPr>
      </w:pPr>
    </w:p>
    <w:p w14:paraId="73F831FC"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lastRenderedPageBreak/>
        <w:t>Train data collectors</w:t>
      </w:r>
    </w:p>
    <w:p w14:paraId="13A27627"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At this stage, the researcher will plan to provide training to the research team about the primary purpose of the data to be collected, define the role of each team member and acquire training on how to administer the tests to the patients (Sajjad, 2016).</w:t>
      </w:r>
    </w:p>
    <w:p w14:paraId="5A9B7555"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analysis strategies</w:t>
      </w:r>
    </w:p>
    <w:p w14:paraId="18F11C7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At this stage, I can assess the patterns in the feedback given by the patients and match them with numerical scores from the tests. </w:t>
      </w:r>
    </w:p>
    <w:p w14:paraId="74DCD75D"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Maintenance</w:t>
      </w:r>
    </w:p>
    <w:p w14:paraId="573F1374"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At this stage, the researcher can collaborate with other healthcare providers and other organizations to ensure that any arising issue is addressed and corrected. </w:t>
      </w:r>
    </w:p>
    <w:p w14:paraId="29DA2EF8"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How data management will be maintained</w:t>
      </w:r>
    </w:p>
    <w:p w14:paraId="3248B42A"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The data manager will be responsible for data management by doing data analysis with the most appropriate tools.</w:t>
      </w:r>
    </w:p>
    <w:p w14:paraId="2A348175"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Conducting data analysis and interpretation process</w:t>
      </w:r>
    </w:p>
    <w:p w14:paraId="3B5722F2"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Data analysis will involve an examination, molding of the collected data for interpretation to find the relevant information in the study, propose changes, and make conclusions. Data collected will be disseminated to allow the researcher to understand the relationship between each variable. The researcher will also be required to identify the different patterns and topics covered in the data collected to examine and interpret these patterns and themes (Food and Agriculture Organization of the United Nations, 2018). Lastly, the researcher will be required to draw logical conclusions from the findings of the study.</w:t>
      </w:r>
    </w:p>
    <w:p w14:paraId="18E475A8"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Strategies to deal with the management of any barrier, facilitator, and changes</w:t>
      </w:r>
    </w:p>
    <w:p w14:paraId="0A5ED03F" w14:textId="77777777" w:rsidR="007C6E28" w:rsidRDefault="007C6E28" w:rsidP="009E5044">
      <w:pPr>
        <w:shd w:val="clear" w:color="auto" w:fill="FFFFFF"/>
        <w:spacing w:after="0" w:line="480" w:lineRule="auto"/>
        <w:rPr>
          <w:rFonts w:ascii="Times New Roman" w:hAnsi="Times New Roman" w:cs="Times New Roman"/>
          <w:b/>
          <w:bCs/>
          <w:sz w:val="24"/>
          <w:szCs w:val="24"/>
        </w:rPr>
      </w:pPr>
    </w:p>
    <w:p w14:paraId="0F827C69"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lastRenderedPageBreak/>
        <w:t>Financial barriers</w:t>
      </w:r>
    </w:p>
    <w:p w14:paraId="1BEB7B79"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Financial barriers will be avoided by collaborating with the federal government for funding of the program. The researcher can also request support from different health facilities in the project for effective implementation (Mathieson, Grande, &amp; Luker, 2018).</w:t>
      </w:r>
    </w:p>
    <w:p w14:paraId="33EC94B1"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Patient and staff compliance/Resistance</w:t>
      </w:r>
    </w:p>
    <w:p w14:paraId="16112BEF"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Management of compliance and resistance of the patients and staff can be useful if it concentrates on the symptoms. The researchers need to be proactive in managing resistance. They will also be required to investigate the reason behind the opposition to help overcome it.</w:t>
      </w:r>
    </w:p>
    <w:p w14:paraId="2BCF3D4D"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Feasibility Plan</w:t>
      </w:r>
    </w:p>
    <w:p w14:paraId="796BA563" w14:textId="1C9533FA"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The feasibility plan for this program will include nutrition education, follow-up groups, and necessary regulatory and institutional arrangements. The program will incur additional costs, especially in the more frequent laboratory test, cost of administering the questionnaires, database access cost, and presentation costs. The feasibility of this intervention will require the researcher to ask for financial support from relevant organizations.</w:t>
      </w:r>
    </w:p>
    <w:p w14:paraId="31B4CA77" w14:textId="77777777" w:rsidR="009E5044" w:rsidRPr="00404EAD" w:rsidRDefault="009E5044" w:rsidP="009E5044">
      <w:pPr>
        <w:shd w:val="clear" w:color="auto" w:fill="FFFFFF"/>
        <w:spacing w:after="0" w:line="480" w:lineRule="auto"/>
        <w:jc w:val="center"/>
        <w:rPr>
          <w:rFonts w:ascii="Times New Roman" w:hAnsi="Times New Roman" w:cs="Times New Roman"/>
          <w:sz w:val="24"/>
          <w:szCs w:val="24"/>
        </w:rPr>
      </w:pPr>
      <w:r w:rsidRPr="00E670CE">
        <w:rPr>
          <w:rFonts w:ascii="Times New Roman" w:hAnsi="Times New Roman" w:cs="Times New Roman"/>
          <w:b/>
          <w:bCs/>
          <w:sz w:val="24"/>
          <w:szCs w:val="24"/>
        </w:rPr>
        <w:t>Plans to extend, maintain, revise, and discontinue the proposed solution</w:t>
      </w:r>
    </w:p>
    <w:p w14:paraId="5A7CE5CD" w14:textId="16D94724"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Pr>
          <w:rFonts w:ascii="Times New Roman" w:hAnsi="Times New Roman" w:cs="Times New Roman"/>
          <w:sz w:val="24"/>
          <w:szCs w:val="24"/>
        </w:rPr>
        <w:tab/>
      </w:r>
      <w:r w:rsidRPr="00404EAD">
        <w:rPr>
          <w:rFonts w:ascii="Times New Roman" w:hAnsi="Times New Roman" w:cs="Times New Roman"/>
          <w:sz w:val="24"/>
          <w:szCs w:val="24"/>
        </w:rPr>
        <w:t xml:space="preserve">Researchers can extend, maintain, and revise the proposed solution after implementation by carrying out community surveys, reaching explicit groups, instructional classes, or different sorts of open occasions. To revise or to discontinue the proposed solution, the researcher can gather data from key witnesses and other educated professionals just as from formal and casual group discourses and groups at different levels. To extend on the program, one can purposely reach the hard-to-reach groups and others with less power as well as those thought to have less visibility on engagement with augmentation work. Researchers can also acquire open contribution through intuitive radio or TV programs (Food and Agriculture Organization of the </w:t>
      </w:r>
      <w:r w:rsidRPr="00404EAD">
        <w:rPr>
          <w:rFonts w:ascii="Times New Roman" w:hAnsi="Times New Roman" w:cs="Times New Roman"/>
          <w:sz w:val="24"/>
          <w:szCs w:val="24"/>
        </w:rPr>
        <w:lastRenderedPageBreak/>
        <w:t>United Nations, 2018). They can also engage with different organizations in relevant fields for services like education and wellbeing and trading data, encounters, and perspectives.</w:t>
      </w:r>
    </w:p>
    <w:p w14:paraId="75E046DD" w14:textId="616731D9"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Section F</w:t>
      </w:r>
      <w:r w:rsidR="007C6E28">
        <w:rPr>
          <w:rFonts w:ascii="Times New Roman" w:hAnsi="Times New Roman" w:cs="Times New Roman"/>
          <w:b/>
          <w:bCs/>
          <w:sz w:val="24"/>
          <w:szCs w:val="24"/>
        </w:rPr>
        <w:t>: Evaluation of the Process</w:t>
      </w:r>
    </w:p>
    <w:p w14:paraId="380B8D63"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Evaluation plan for an evidence-based project</w:t>
      </w:r>
    </w:p>
    <w:p w14:paraId="2E3BE79B"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Introduction</w:t>
      </w:r>
    </w:p>
    <w:p w14:paraId="4B30FA94"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 xml:space="preserve">The evaluation process is the final stage in evidence-based practice in healthcare. Evaluation is also the epic of advancement that enhances data on the ways in which the evaluation plan can be improved. The information collected must be assessed and analyzed to measure the success of the program. Various methods are used to measure the success of the program at different phases of the project. This article looks into the development of an evaluation plan for the evidence-based program, measurement of the outcomes, research findings analysis, and future implications of the project. </w:t>
      </w:r>
    </w:p>
    <w:p w14:paraId="3109CE5E"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Methods used in data collection</w:t>
      </w:r>
    </w:p>
    <w:p w14:paraId="603EB461"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 xml:space="preserve">The research involves various methods to collect essential data to develop credible research on the use of a personalized nutritional plan to diabetic type 2 patients in the U.S. This research used questionnaires and interviews in collecting data from the affected community. The target population, in this case, were non-insured Hispanic type II diabetic patients. The population was served with questionnaires to give their views on the issue and allow for a personalized plan to be created. The study also made use on face to face interviews with the affected individuals. Interviews and questionnaires are essential in gathering data. The two methods are much flexible and economical. Both methods pose an economical means of </w:t>
      </w:r>
      <w:r w:rsidRPr="000065BE">
        <w:rPr>
          <w:rFonts w:ascii="Times New Roman" w:hAnsi="Times New Roman" w:cs="Times New Roman"/>
          <w:sz w:val="24"/>
          <w:szCs w:val="24"/>
        </w:rPr>
        <w:lastRenderedPageBreak/>
        <w:t>collecting data in the sense that the research can reach a large number of people. Interviews and questionnaires also provide rapid data that the researcher requires to compile his report.</w:t>
      </w:r>
    </w:p>
    <w:p w14:paraId="609ACAF9"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Outcome measures</w:t>
      </w:r>
    </w:p>
    <w:p w14:paraId="2D699537"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Successful project implementation aims at portraying the positive outcomes of the proposed change. In this research, the positive outcomes include a reduced prevalence of type II diabetes complications amongst the non-insured Hispanic communities. Reduced prevalence of type II diabetes will be as a result of the utilization of personalized nutritional plans to control blood sugar levels. The primary aim of the evidence-based project is to reduce hospital readmissions within the first six months of discharge (Ordovas, Ferguson, Tai, &amp; Mathers, 2018). Lack of readmission within the six months of the project implementation is a significant measure of success. The implementation of the project was measured by analyzing the collected data and comparing it with health facility statistics reports during the project. The results should also be compared to the results of insured Hispanic communities.</w:t>
      </w:r>
    </w:p>
    <w:p w14:paraId="468E21E4"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Reliability and applicability of the measured outcome</w:t>
      </w:r>
    </w:p>
    <w:p w14:paraId="55B70989" w14:textId="77777777" w:rsidR="009E5044" w:rsidRPr="000065BE" w:rsidRDefault="009E5044" w:rsidP="009E5044">
      <w:pPr>
        <w:spacing w:line="480" w:lineRule="auto"/>
        <w:ind w:firstLine="720"/>
        <w:rPr>
          <w:rFonts w:ascii="Times New Roman" w:hAnsi="Times New Roman" w:cs="Times New Roman"/>
          <w:sz w:val="24"/>
          <w:szCs w:val="24"/>
        </w:rPr>
      </w:pPr>
      <w:r w:rsidRPr="000065BE">
        <w:rPr>
          <w:rFonts w:ascii="Times New Roman" w:hAnsi="Times New Roman" w:cs="Times New Roman"/>
          <w:sz w:val="24"/>
          <w:szCs w:val="24"/>
        </w:rPr>
        <w:t>Research evidence provided is measured against the existing statistical methods to ascertain the reliability and value of the data collected. Mathematical and statistical tools are used in the analysis. The findings of the analysis will be more reliable for decision making as the procedures and methods used in regard to practical and measurable outcomes (Viswanathan et al., 2019).</w:t>
      </w:r>
    </w:p>
    <w:p w14:paraId="69F5A136"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Strategies if the desired results are achieved</w:t>
      </w:r>
    </w:p>
    <w:p w14:paraId="0F3689A9" w14:textId="77777777" w:rsidR="009E5044" w:rsidRPr="000065BE" w:rsidRDefault="009E5044" w:rsidP="009E5044">
      <w:pPr>
        <w:spacing w:line="480" w:lineRule="auto"/>
        <w:ind w:firstLine="720"/>
        <w:rPr>
          <w:rFonts w:ascii="Times New Roman" w:hAnsi="Times New Roman" w:cs="Times New Roman"/>
          <w:sz w:val="24"/>
          <w:szCs w:val="24"/>
        </w:rPr>
      </w:pPr>
      <w:r w:rsidRPr="000065BE">
        <w:rPr>
          <w:rFonts w:ascii="Times New Roman" w:hAnsi="Times New Roman" w:cs="Times New Roman"/>
          <w:sz w:val="24"/>
          <w:szCs w:val="24"/>
        </w:rPr>
        <w:t xml:space="preserve">When the final result does not meet our expectations, we have to refocus and redesign another way to improve the results. Also, the researcher analyses the negative results and makes </w:t>
      </w:r>
      <w:r w:rsidRPr="000065BE">
        <w:rPr>
          <w:rFonts w:ascii="Times New Roman" w:hAnsi="Times New Roman" w:cs="Times New Roman"/>
          <w:sz w:val="24"/>
          <w:szCs w:val="24"/>
        </w:rPr>
        <w:lastRenderedPageBreak/>
        <w:t>recommendations on how to improve the reliability of this information future decision making. After the analysis, the researcher determines the validity of this data for decision making, and if it cannot be improved, it is terminated at this stage.</w:t>
      </w:r>
    </w:p>
    <w:p w14:paraId="3A4BC13B"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Implication and Future research</w:t>
      </w:r>
    </w:p>
    <w:p w14:paraId="0740CE0D" w14:textId="77777777" w:rsidR="009E5044" w:rsidRPr="000065BE" w:rsidRDefault="009E5044" w:rsidP="009E5044">
      <w:pPr>
        <w:spacing w:line="480" w:lineRule="auto"/>
        <w:ind w:firstLine="720"/>
        <w:rPr>
          <w:rFonts w:ascii="Times New Roman" w:hAnsi="Times New Roman" w:cs="Times New Roman"/>
          <w:sz w:val="24"/>
          <w:szCs w:val="24"/>
        </w:rPr>
      </w:pPr>
      <w:r w:rsidRPr="000065BE">
        <w:rPr>
          <w:rFonts w:ascii="Times New Roman" w:hAnsi="Times New Roman" w:cs="Times New Roman"/>
          <w:sz w:val="24"/>
          <w:szCs w:val="24"/>
        </w:rPr>
        <w:t>The relevance of the achieved results is to prove that society can free itself from type II diabetes and reduce hospital readmissions. The future of type II diabetes can be predicted if the analysis of data gives positive results. Otherwise, other methods are chosen to manage type-II diabetes.</w:t>
      </w:r>
    </w:p>
    <w:p w14:paraId="5C2D857D"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Conclusion</w:t>
      </w:r>
    </w:p>
    <w:p w14:paraId="5966F229"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In conclusion, the several methods used in data collection play a crucial role in research development and give a prediction on future practices. Through data analysis, the researcher is able to measure the outcomes of the project. The researcher can also identify research gaps,</w:t>
      </w:r>
      <w:r>
        <w:rPr>
          <w:rFonts w:ascii="Times New Roman" w:hAnsi="Times New Roman" w:cs="Times New Roman"/>
          <w:sz w:val="24"/>
          <w:szCs w:val="24"/>
        </w:rPr>
        <w:t xml:space="preserve"> </w:t>
      </w:r>
      <w:r w:rsidRPr="000065BE">
        <w:rPr>
          <w:rFonts w:ascii="Times New Roman" w:hAnsi="Times New Roman" w:cs="Times New Roman"/>
          <w:sz w:val="24"/>
          <w:szCs w:val="24"/>
        </w:rPr>
        <w:t>make conclusions, and recommendations for future research. Project evaluation is the best mechanism to measure the result of the program.</w:t>
      </w:r>
    </w:p>
    <w:p w14:paraId="5D65025C" w14:textId="77777777" w:rsidR="009E5044" w:rsidRPr="000065BE" w:rsidRDefault="009E5044" w:rsidP="009E5044">
      <w:pPr>
        <w:rPr>
          <w:rFonts w:ascii="Times New Roman" w:eastAsia="Times New Roman" w:hAnsi="Times New Roman" w:cs="Times New Roman"/>
          <w:color w:val="000000"/>
          <w:sz w:val="24"/>
          <w:szCs w:val="24"/>
        </w:rPr>
      </w:pPr>
      <w:r w:rsidRPr="000065BE">
        <w:rPr>
          <w:rFonts w:ascii="Times New Roman" w:eastAsia="Times New Roman" w:hAnsi="Times New Roman" w:cs="Times New Roman"/>
          <w:color w:val="000000"/>
          <w:sz w:val="24"/>
          <w:szCs w:val="24"/>
        </w:rPr>
        <w:br w:type="page"/>
      </w:r>
    </w:p>
    <w:p w14:paraId="76C967E8" w14:textId="77777777" w:rsidR="004A378D" w:rsidRDefault="004A378D" w:rsidP="004A378D">
      <w:pPr>
        <w:shd w:val="clear" w:color="auto" w:fill="FFFFFF"/>
        <w:spacing w:after="0" w:line="480" w:lineRule="auto"/>
        <w:jc w:val="center"/>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lastRenderedPageBreak/>
        <w:t>References</w:t>
      </w:r>
    </w:p>
    <w:p w14:paraId="477905D3" w14:textId="77777777" w:rsidR="000802B3" w:rsidRPr="000802B3" w:rsidRDefault="000802B3"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802B3">
        <w:rPr>
          <w:rFonts w:ascii="Times New Roman" w:eastAsia="Times New Roman" w:hAnsi="Times New Roman" w:cs="Times New Roman"/>
          <w:color w:val="000000"/>
          <w:sz w:val="24"/>
          <w:szCs w:val="24"/>
        </w:rPr>
        <w:t>CDC Report. (2019, June 11). Type 2 Diabetes. Retrieved from https://www.cdc.gov/diabetes/basics/type2.html</w:t>
      </w:r>
    </w:p>
    <w:p w14:paraId="58CB8254" w14:textId="08E13A6F" w:rsidR="000802B3" w:rsidRDefault="000802B3"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802B3">
        <w:rPr>
          <w:rFonts w:ascii="Times New Roman" w:eastAsia="Times New Roman" w:hAnsi="Times New Roman" w:cs="Times New Roman"/>
          <w:color w:val="000000"/>
          <w:sz w:val="24"/>
          <w:szCs w:val="24"/>
        </w:rPr>
        <w:t>CDC Press Releases. (2019, February 28). Retrieved from https://www.cdc.gov/media/releases/2017/p0718-diabetes-report.html</w:t>
      </w:r>
    </w:p>
    <w:p w14:paraId="3594EF8C" w14:textId="55C366E6" w:rsidR="003B6117" w:rsidRDefault="003B6117"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B6117">
        <w:rPr>
          <w:rFonts w:ascii="Times New Roman" w:eastAsia="Times New Roman" w:hAnsi="Times New Roman" w:cs="Times New Roman"/>
          <w:color w:val="000000"/>
          <w:sz w:val="24"/>
          <w:szCs w:val="24"/>
        </w:rPr>
        <w:t>Ceriello, A., Gallo, M., Candido, R., Di Micheli, A., Esposito, K., Gentile, S., &amp; Medea, G. (2014). Personalized therapy algorithms for type 2 diabetes: a phenotype-based. Retrieved from https://www.dovepress.com/personalized-therapy-algorithms-for-type-2-diabetes-a-phenotype-based--peer-reviewed-fulltext-article-PGPM</w:t>
      </w:r>
    </w:p>
    <w:p w14:paraId="77F6FEDA" w14:textId="77777777" w:rsidR="00C55AAA" w:rsidRPr="00C55AAA" w:rsidRDefault="00C55AAA"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C55AAA">
        <w:rPr>
          <w:rFonts w:ascii="Times New Roman" w:eastAsia="Times New Roman" w:hAnsi="Times New Roman" w:cs="Times New Roman"/>
          <w:color w:val="000000"/>
          <w:sz w:val="24"/>
          <w:szCs w:val="24"/>
        </w:rPr>
        <w:t>Diffusion of Innovation Theory. (2014, July 10). Retrieved from https://www.communicationtheory.org/diffusion-of-innovation-theory/</w:t>
      </w:r>
    </w:p>
    <w:p w14:paraId="5E3250C0" w14:textId="6AEE6E4F" w:rsidR="00551212" w:rsidRPr="00404EAD" w:rsidRDefault="002B3D88"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B3D88">
        <w:rPr>
          <w:rFonts w:ascii="Times New Roman" w:eastAsia="Times New Roman" w:hAnsi="Times New Roman" w:cs="Times New Roman"/>
          <w:color w:val="000000"/>
          <w:sz w:val="24"/>
          <w:szCs w:val="24"/>
        </w:rPr>
        <w:t>Einarson, T. R., Acs, A., Ludwig, C., &amp; Panton, U. H. (2018). Prevalence of cardiovascular disease in type 2 diabetes: a systematic literature review of scientific evidence from across the world in 2007-2017. Cardiovascular diabetology, 17(1), 83. doi:10.1186/s12933-018-0728-6</w:t>
      </w:r>
    </w:p>
    <w:p w14:paraId="27A41B41" w14:textId="77777777" w:rsidR="004A378D" w:rsidRPr="00404EAD" w:rsidRDefault="004A378D"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Fallaize, R., Franco, R. Z., Lovegrove, J. A., &amp; Hwang, F. (2019, April 3). Evaluation of the eNutri automated personalized nutrition advice by users and nutrition professionals in the UK. Retrieved from https://www.ncbi.nlm.nih.gov/pmc/articles/PMC6447217/</w:t>
      </w:r>
    </w:p>
    <w:p w14:paraId="5DB65CB6" w14:textId="77777777" w:rsidR="004A378D" w:rsidRPr="00404EAD" w:rsidRDefault="004A378D"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Food and Agriculture Organization of the United Nations. (2018). Dietary Assessment A resource guide to method selection and application in low resource settings. Retrieved from http://www.fao.org/3/i9940en/I9940EN.pdf</w:t>
      </w:r>
    </w:p>
    <w:p w14:paraId="17EE831D" w14:textId="4EC99FA4" w:rsidR="00C55AAA" w:rsidRDefault="00C55AAA"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C55AAA">
        <w:rPr>
          <w:rFonts w:ascii="Times New Roman" w:eastAsia="Times New Roman" w:hAnsi="Times New Roman" w:cs="Times New Roman"/>
          <w:color w:val="000000"/>
          <w:sz w:val="24"/>
          <w:szCs w:val="24"/>
        </w:rPr>
        <w:t>Harvey, G., &amp; Kitson, A. (2015). Implementing Evidence-Based Practice in Healthcare: A Facilitation Guide. London, England: Routledge.</w:t>
      </w:r>
    </w:p>
    <w:p w14:paraId="560B5DDE" w14:textId="1C6DB5F7" w:rsidR="00BB6387" w:rsidRDefault="00BB6387"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B6387">
        <w:rPr>
          <w:rFonts w:ascii="Times New Roman" w:eastAsia="Times New Roman" w:hAnsi="Times New Roman" w:cs="Times New Roman"/>
          <w:color w:val="000000"/>
          <w:sz w:val="24"/>
          <w:szCs w:val="24"/>
        </w:rPr>
        <w:lastRenderedPageBreak/>
        <w:t>Hey, S., Hamdy, O., Mohan, V., &amp; Hu, F. (2016, February 11). Prevention and Management of Type 2 Diabetes: Dietary Components and Nutritional Strategies. Retrieved from https://www.ncbi.nlm.nih.gov/pmc/articles/PMC4751088/</w:t>
      </w:r>
    </w:p>
    <w:p w14:paraId="5D51F62D" w14:textId="2AADE336" w:rsidR="00E443C6" w:rsidRDefault="00E443C6"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443C6">
        <w:rPr>
          <w:rFonts w:ascii="Times New Roman" w:eastAsia="Times New Roman" w:hAnsi="Times New Roman" w:cs="Times New Roman"/>
          <w:color w:val="000000"/>
          <w:sz w:val="24"/>
          <w:szCs w:val="24"/>
        </w:rPr>
        <w:t>Ley, S. H., Hamdy, O., Mohan, V., &amp; Hu, F. B. (2016, June 7). Prevention and Management of Type 2 Diabetes: Dietary Components and Nutritional Strategies. Retrieved from https://www.ncbi.nlm.nih.gov/pmc/articles/PMC4751088/</w:t>
      </w:r>
    </w:p>
    <w:p w14:paraId="380F92A0" w14:textId="77777777" w:rsidR="004A378D" w:rsidRPr="00404EAD" w:rsidRDefault="004A378D"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Mathieson, A., Grande, G., &amp; Luker, K. (2018, August 2). Strategies, facilitators, and barriers to implementation of evidence-based practice in community nursing: a systematic mixed-studies review and qualitative synthesis. Retrieved from https://www.ncbi.nlm.nih.gov/pmc/articles/PMC6476399/</w:t>
      </w:r>
    </w:p>
    <w:p w14:paraId="3ED58708" w14:textId="2C575BA6" w:rsidR="008B5631" w:rsidRDefault="008B5631"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8B5631">
        <w:rPr>
          <w:rFonts w:ascii="Times New Roman" w:eastAsia="Times New Roman" w:hAnsi="Times New Roman" w:cs="Times New Roman"/>
          <w:color w:val="000000"/>
          <w:sz w:val="24"/>
          <w:szCs w:val="24"/>
        </w:rPr>
        <w:t>Mohammadi, M. M., Poursaberi, R., &amp; Salahshoor, M. R. (2018, January 6). Evaluating the adoption of evidence-based practice using Rogers's diffusion of innovation theory: a model testing study. Retrieved from https://www.ncbi.nlm.nih.gov/pmc/articles/PMC5797305/</w:t>
      </w:r>
    </w:p>
    <w:p w14:paraId="3A918EC5" w14:textId="0C67F7C5" w:rsidR="002B3D88" w:rsidRDefault="002B3D88"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B3D88">
        <w:rPr>
          <w:rFonts w:ascii="Times New Roman" w:eastAsia="Times New Roman" w:hAnsi="Times New Roman" w:cs="Times New Roman"/>
          <w:color w:val="000000"/>
          <w:sz w:val="24"/>
          <w:szCs w:val="24"/>
        </w:rPr>
        <w:t>Oreinstein, B. W. (2017, March 1). Why You Should Add a Nutritionist to Your Diabetes Team. Retrieved from https://www.everydayhealth.com/type-2-diabetes/diet/adding-a-nutritionist-to-your-diabetes-team/</w:t>
      </w:r>
    </w:p>
    <w:p w14:paraId="4878DC2A" w14:textId="77777777" w:rsidR="004A378D" w:rsidRPr="00404EAD" w:rsidRDefault="004A378D"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Ordovas, J. M., Ferguson, L. R., Tai, E. S., &amp; Mathers, J. C. (2018, June 13). Personalized nutrition and health. Retrieved from https://www.bmj.com/content/361/bmj.k2173</w:t>
      </w:r>
    </w:p>
    <w:p w14:paraId="0C548480" w14:textId="1CD8BDF2" w:rsidR="00E04156" w:rsidRDefault="00E04156"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04156">
        <w:rPr>
          <w:rFonts w:ascii="Times New Roman" w:eastAsia="Times New Roman" w:hAnsi="Times New Roman" w:cs="Times New Roman"/>
          <w:color w:val="000000"/>
          <w:sz w:val="24"/>
          <w:szCs w:val="24"/>
        </w:rPr>
        <w:t xml:space="preserve">Puchalski, L. M., &amp; Straus, S. E. (2019, January 8). Assessing Organizational Readiness for Change: Comment on "Development and Content Validation of a Transcultural Instrument to Assess Organizational Readiness for Knowledge Translation in Healthcare </w:t>
      </w:r>
      <w:r w:rsidRPr="00E04156">
        <w:rPr>
          <w:rFonts w:ascii="Times New Roman" w:eastAsia="Times New Roman" w:hAnsi="Times New Roman" w:cs="Times New Roman"/>
          <w:color w:val="000000"/>
          <w:sz w:val="24"/>
          <w:szCs w:val="24"/>
        </w:rPr>
        <w:lastRenderedPageBreak/>
        <w:t>Organizations: The OR4KT". Retrieved from https://www.ncbi.nlm.nih.gov/pmc/articles/PMC6358647/</w:t>
      </w:r>
    </w:p>
    <w:p w14:paraId="40FC8228" w14:textId="368C4383" w:rsidR="008B5631" w:rsidRDefault="008B5631"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8B5631">
        <w:rPr>
          <w:rFonts w:ascii="Times New Roman" w:eastAsia="Times New Roman" w:hAnsi="Times New Roman" w:cs="Times New Roman"/>
          <w:color w:val="000000"/>
          <w:sz w:val="24"/>
          <w:szCs w:val="24"/>
        </w:rPr>
        <w:t>Rudd, R. E., &amp; Simonds, V. W. (2018). Diffusion of innovations. Retrieved from https://www.britannica.com/topic/diffusion-of-innovations</w:t>
      </w:r>
    </w:p>
    <w:p w14:paraId="58A8429C" w14:textId="50701EAA" w:rsidR="00A5243E" w:rsidRDefault="004A378D" w:rsidP="00A5243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 xml:space="preserve">Sajjad, S. M. (2016, July 10). (PDF) METHODS OF DATA COLLECTION. Retrieved from </w:t>
      </w:r>
      <w:hyperlink r:id="rId6" w:history="1">
        <w:r w:rsidR="00A5243E" w:rsidRPr="00A5243E">
          <w:rPr>
            <w:rStyle w:val="Hyperlink"/>
            <w:rFonts w:ascii="Times New Roman" w:eastAsia="Times New Roman" w:hAnsi="Times New Roman" w:cs="Times New Roman"/>
            <w:color w:val="auto"/>
            <w:sz w:val="24"/>
            <w:szCs w:val="24"/>
            <w:u w:val="none"/>
          </w:rPr>
          <w:t>https://www.researchgate.net/publication/325846997_METHODS_OF_DATA_COLLECTION</w:t>
        </w:r>
      </w:hyperlink>
    </w:p>
    <w:p w14:paraId="0FE901EC" w14:textId="2654DC8A" w:rsidR="006624BC" w:rsidRDefault="006624BC" w:rsidP="00A5243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624BC">
        <w:rPr>
          <w:rFonts w:ascii="Times New Roman" w:eastAsia="Times New Roman" w:hAnsi="Times New Roman" w:cs="Times New Roman"/>
          <w:color w:val="000000"/>
          <w:sz w:val="24"/>
          <w:szCs w:val="24"/>
        </w:rPr>
        <w:t>Sharkey, L. (2019, February 14). Reducing diabetes risk with a personalized diet. Retrieved from https://www.medicalnewstoday.com/articles/324433.php</w:t>
      </w:r>
    </w:p>
    <w:p w14:paraId="5296B337" w14:textId="785E2DEB" w:rsidR="006624BC" w:rsidRDefault="006E3D91" w:rsidP="00A5243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E3D91">
        <w:rPr>
          <w:rFonts w:ascii="Times New Roman" w:eastAsia="Times New Roman" w:hAnsi="Times New Roman" w:cs="Times New Roman"/>
          <w:color w:val="000000"/>
          <w:sz w:val="24"/>
          <w:szCs w:val="24"/>
        </w:rPr>
        <w:t>Torouhi, N. G., Misra, A., Mohan, V., Taylor, R., &amp; Yancy, W. (2018, June 13). Dietary and nutritional approaches to the prevention and management of type 2 diabetes. Retrieved from https://www.bmj.com/content/361/bmj.k2234</w:t>
      </w:r>
    </w:p>
    <w:p w14:paraId="487C650D" w14:textId="4A104991" w:rsidR="006223AA" w:rsidRPr="00EA5D4E" w:rsidRDefault="006223AA" w:rsidP="00A5243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A5D4E">
        <w:rPr>
          <w:rFonts w:ascii="Times New Roman" w:eastAsia="Times New Roman" w:hAnsi="Times New Roman" w:cs="Times New Roman"/>
          <w:color w:val="000000"/>
          <w:sz w:val="24"/>
          <w:szCs w:val="24"/>
        </w:rPr>
        <w:t>Viswanathan, V., Krishnan, D., Kalra, S., Chawla, R., Tiwaskar, M., Saboo, B. … Baruah, M. (2019, March). Insights on Medical Nutrition Therapy for Type 2 Diabetes Mellitus: An Indian Perspective. Retrieved from https://link.springer.com/article/10.1007/s12325-019-0872-8</w:t>
      </w:r>
    </w:p>
    <w:p w14:paraId="1F791435" w14:textId="77777777" w:rsidR="009C0E3D" w:rsidRDefault="009C0E3D" w:rsidP="009E5044">
      <w:pPr>
        <w:shd w:val="clear" w:color="auto" w:fill="FFFFFF"/>
        <w:spacing w:after="0" w:line="240" w:lineRule="auto"/>
        <w:jc w:val="center"/>
        <w:rPr>
          <w:rFonts w:ascii="Times New Roman" w:eastAsia="Times New Roman" w:hAnsi="Times New Roman" w:cs="Times New Roman"/>
          <w:color w:val="000000"/>
          <w:sz w:val="24"/>
          <w:szCs w:val="24"/>
        </w:rPr>
      </w:pPr>
    </w:p>
    <w:p w14:paraId="1316DD0F" w14:textId="77777777" w:rsidR="009E5044" w:rsidRDefault="009E5044" w:rsidP="009E5044">
      <w:pPr>
        <w:spacing w:line="480" w:lineRule="auto"/>
        <w:rPr>
          <w:rFonts w:ascii="Times New Roman" w:hAnsi="Times New Roman" w:cs="Times New Roman"/>
          <w:sz w:val="24"/>
          <w:szCs w:val="24"/>
        </w:rPr>
      </w:pPr>
    </w:p>
    <w:p w14:paraId="1E8A6937" w14:textId="3EF31BB4" w:rsidR="004F21C1" w:rsidRDefault="004F21C1">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14:paraId="0F7A8F20" w14:textId="23ED9B33" w:rsidR="004F21C1" w:rsidRDefault="004F21C1" w:rsidP="004F21C1">
      <w:pPr>
        <w:spacing w:line="480" w:lineRule="auto"/>
        <w:jc w:val="center"/>
        <w:rPr>
          <w:rFonts w:ascii="Times New Roman" w:hAnsi="Times New Roman" w:cs="Times New Roman"/>
          <w:b/>
          <w:sz w:val="24"/>
          <w:szCs w:val="24"/>
        </w:rPr>
      </w:pPr>
      <w:r w:rsidRPr="004F21C1">
        <w:rPr>
          <w:rFonts w:ascii="Times New Roman" w:hAnsi="Times New Roman" w:cs="Times New Roman"/>
          <w:b/>
          <w:sz w:val="24"/>
          <w:szCs w:val="24"/>
        </w:rPr>
        <w:lastRenderedPageBreak/>
        <w:t>Appendices</w:t>
      </w:r>
    </w:p>
    <w:p w14:paraId="4DE47F80" w14:textId="4CD637A6" w:rsidR="00443768" w:rsidRDefault="00C9086B" w:rsidP="004F21C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1: </w:t>
      </w:r>
      <w:r w:rsidR="00443768">
        <w:rPr>
          <w:rFonts w:ascii="Times New Roman" w:hAnsi="Times New Roman" w:cs="Times New Roman"/>
          <w:b/>
          <w:sz w:val="24"/>
          <w:szCs w:val="24"/>
        </w:rPr>
        <w:t>Conceptual Framework</w:t>
      </w:r>
    </w:p>
    <w:p w14:paraId="26B02570" w14:textId="55170511" w:rsidR="003B703D" w:rsidRDefault="00173514" w:rsidP="004F21C1">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44E18F47" wp14:editId="027F5C3D">
                <wp:simplePos x="0" y="0"/>
                <wp:positionH relativeFrom="column">
                  <wp:posOffset>2171700</wp:posOffset>
                </wp:positionH>
                <wp:positionV relativeFrom="paragraph">
                  <wp:posOffset>2705735</wp:posOffset>
                </wp:positionV>
                <wp:extent cx="1495425" cy="4381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1495425" cy="438150"/>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4A981F8" w14:textId="05A6D305" w:rsidR="003802CB" w:rsidRPr="00B35D48" w:rsidRDefault="003802CB">
                            <w:pPr>
                              <w:rPr>
                                <w:rFonts w:ascii="Times New Roman" w:hAnsi="Times New Roman" w:cs="Times New Roman"/>
                                <w:b/>
                                <w:sz w:val="28"/>
                              </w:rPr>
                            </w:pPr>
                            <w:r w:rsidRPr="00B35D48">
                              <w:rPr>
                                <w:rFonts w:ascii="Times New Roman" w:hAnsi="Times New Roman" w:cs="Times New Roman"/>
                                <w:b/>
                                <w:sz w:val="28"/>
                              </w:rPr>
                              <w:t>Diabetes Type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4E18F47" id="_x0000_t202" coordsize="21600,21600" o:spt="202" path="m,l,21600r21600,l21600,xe">
                <v:stroke joinstyle="miter"/>
                <v:path gradientshapeok="t" o:connecttype="rect"/>
              </v:shapetype>
              <v:shape id="Text Box 3" o:spid="_x0000_s1026" type="#_x0000_t202" style="position:absolute;left:0;text-align:left;margin-left:171pt;margin-top:213.05pt;width:117.75pt;height:3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yjWigIAAIoFAAAOAAAAZHJzL2Uyb0RvYy54bWysVEtPGzEQvlfqf7B8L5snhYgNSkFUlRCg&#10;hoqz47UTq7bHtZ3spr+esXc3pJQLVS+7tueb1zePi8vGaLITPiiwJR2eDCgRlkOl7LqkPx5vPp1R&#10;EiKzFdNgRUn3ItDL+ccPF7WbiRFsQFfCEzRiw6x2Jd3E6GZFEfhGGBZOwAmLQgnesIhXvy4qz2q0&#10;bnQxGgxOixp85TxwEQK+XrdCOs/2pRQ83ksZRCS6pBhbzF+fv6v0LeYXbLb2zG0U78Jg/xCFYcqi&#10;04OpaxYZ2Xr1lymjuIcAMp5wMAVIqbjIOWA2w8GrbJYb5kTOBckJ7kBT+H9m+d3uwRNVlXRMiWUG&#10;S/Qomki+QEPGiZ3ahRmClg5hscFnrHL/HvAxJd1Ib9If0yEoR573B26TMZ6UJufTyWhKCUfZZHw2&#10;nGbyixdt50P8KsCQdCipx9plStnuNkSMBKE9JDmzcKO0zvXTltQlPR2jySQJoFWVhPmSOklcaU92&#10;DHtgtc7Ro60jFN60TWCRO6ZzlzJvM8ynuNciYbT9LiQylhN9wwPjXNjYe8nohJIYz3sUO/xLVO9R&#10;bvNAjewZbDwoG2XBtyz9SUz1sw9Ztngk/CjvdIzNquk6YgXVHhvCQztQwfEbhVW7ZSE+MI8ThD2A&#10;WyHe40dqwOpAd6JkA/73W+8Jj42NUkpqnMiShl9b5gUl+pvFlj8fTiZphPNlMv08wos/lqyOJXZr&#10;rgALPsT943g+JnzU/VF6ME+4PBbJK4qY5ei7pLE/XsV2T+Dy4WKxyCAcWsfirV06nkwnelNPPjZP&#10;zLuucSO2/B30s8tmr/q3xSZNC4ttBKlycyeCW1Y74nHgc893yyltlON7Rr2s0PkzAAAA//8DAFBL&#10;AwQUAAYACAAAACEAGGkF0OIAAAALAQAADwAAAGRycy9kb3ducmV2LnhtbEyPwU7DMBBE70j8g7VI&#10;3KiT0DRtiFMBKpf2ALT9ADc2SVR7HcVOmvL1LCc4zs5o9k2xnqxho+5961BAPIuAaaycarEWcDy8&#10;PSyB+SBRSeNQC7hqD+vy9qaQuXIX/NTjPtSMStDnUkATQpdz7qtGW+lnrtNI3pfrrQwk+5qrXl6o&#10;3BqeRNGCW9kifWhkp18bXZ33gxWwsptzNpjddvzovq9D4o/b95eNEPd30/MTsKCn8BeGX3xCh5KY&#10;Tm5A5ZkR8DhPaEsQME8WMTBKpFmWAjvRZZXGwMuC/99Q/gAAAP//AwBQSwECLQAUAAYACAAAACEA&#10;toM4kv4AAADhAQAAEwAAAAAAAAAAAAAAAAAAAAAAW0NvbnRlbnRfVHlwZXNdLnhtbFBLAQItABQA&#10;BgAIAAAAIQA4/SH/1gAAAJQBAAALAAAAAAAAAAAAAAAAAC8BAABfcmVscy8ucmVsc1BLAQItABQA&#10;BgAIAAAAIQCldyjWigIAAIoFAAAOAAAAAAAAAAAAAAAAAC4CAABkcnMvZTJvRG9jLnhtbFBLAQIt&#10;ABQABgAIAAAAIQAYaQXQ4gAAAAsBAAAPAAAAAAAAAAAAAAAAAOQEAABkcnMvZG93bnJldi54bWxQ&#10;SwUGAAAAAAQABADzAAAA8wUAAAAA&#10;" filled="f" strokecolor="white [3212]" strokeweight=".5pt">
                <v:textbox>
                  <w:txbxContent>
                    <w:p w14:paraId="64A981F8" w14:textId="05A6D305" w:rsidR="003802CB" w:rsidRPr="00B35D48" w:rsidRDefault="003802CB">
                      <w:pPr>
                        <w:rPr>
                          <w:rFonts w:ascii="Times New Roman" w:hAnsi="Times New Roman" w:cs="Times New Roman"/>
                          <w:b/>
                          <w:sz w:val="28"/>
                        </w:rPr>
                      </w:pPr>
                      <w:r w:rsidRPr="00B35D48">
                        <w:rPr>
                          <w:rFonts w:ascii="Times New Roman" w:hAnsi="Times New Roman" w:cs="Times New Roman"/>
                          <w:b/>
                          <w:sz w:val="28"/>
                        </w:rPr>
                        <w:t>Diabetes Type 2</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5D1E8A9E" wp14:editId="6F2A3271">
                <wp:simplePos x="0" y="0"/>
                <wp:positionH relativeFrom="column">
                  <wp:posOffset>1952625</wp:posOffset>
                </wp:positionH>
                <wp:positionV relativeFrom="paragraph">
                  <wp:posOffset>2372360</wp:posOffset>
                </wp:positionV>
                <wp:extent cx="1914525" cy="904875"/>
                <wp:effectExtent l="0" t="0" r="28575" b="28575"/>
                <wp:wrapNone/>
                <wp:docPr id="2" name="Oval 2"/>
                <wp:cNvGraphicFramePr/>
                <a:graphic xmlns:a="http://schemas.openxmlformats.org/drawingml/2006/main">
                  <a:graphicData uri="http://schemas.microsoft.com/office/word/2010/wordprocessingShape">
                    <wps:wsp>
                      <wps:cNvSpPr/>
                      <wps:spPr>
                        <a:xfrm>
                          <a:off x="0" y="0"/>
                          <a:ext cx="1914525" cy="90487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8ED239" id="Oval 2" o:spid="_x0000_s1026" style="position:absolute;margin-left:153.75pt;margin-top:186.8pt;width:150.75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4cXhAIAAGoFAAAOAAAAZHJzL2Uyb0RvYy54bWysVEtPGzEQvlfqf7B8L/tQUiBigyIQVSUE&#10;CKg4O147a8nrcW0nm/TXd+x9JCqoh6o5OGPPzDeP/WaurvetJjvhvAJT0eIsp0QYDrUym4r+eL37&#10;ckGJD8zUTIMRFT0IT6+Xnz9ddXYhSmhA18IRBDF+0dmKNiHYRZZ53oiW+TOwwqBSgmtZwKvbZLVj&#10;HaK3Oivz/GvWgautAy68x9fbXkmXCV9KwcOjlF4EoiuKuYV0unSu45ktr9hi45htFB/SYP+QRcuU&#10;waAT1C0LjGydegfVKu7AgwxnHNoMpFRcpBqwmiL/o5qXhlmRasHmeDu1yf8/WP6we3JE1RUtKTGs&#10;xU/0uGOalLEznfULNHixT264eRRjmXvp2viPBZB96uZh6qbYB8LxsbgsZvNyTglH3WU+uzifR9Ds&#10;6G2dD98EtCQKFRVaK+tjwWzBdvc+9NajVXz2oFV9p7ROl0gScaMdwYwrut4UA/6JVRZr6LNOUjho&#10;EX21eRYS68Y8yxQwMe4IxjgXJhS9qmG16GPMc/yNUcbwqaYEGJElZjdhDwCjZQ8yYvflDfbRVSTC&#10;Ts753xLrnSePFBlMmJxbZcB9BKCxqiFyb4/pn7QmimuoD8gKB/24eMvvFH6he+bDE3M4HzhJOPPh&#10;EQ+poasoDBIlDbhfH71He6QtainpcN4q6n9umROU6O8GCY1kmcUBTZfZ/LzEizvVrE81ZtveAH7z&#10;AreL5UmM9kGPonTQvuFqWMWoqGKGY+yK8uDGy03o9wAuFy5Wq2SGQ2lZuDcvlkfw2NVIv9f9G3N2&#10;oGlAgj/AOJvvqNrbRk8Dq20AqRKPj30d+o0DnYgzLJ+4MU7vyeq4Ipe/AQAA//8DAFBLAwQUAAYA&#10;CAAAACEATF0dsd8AAAALAQAADwAAAGRycy9kb3ducmV2LnhtbEyPwU7DMBBE70j8g7VI3KidVk0g&#10;xKkQUk+c2iJxdWI3Cdhry3bbwNeznOhtd2c0+6bZzM6ys4lp8iihWAhgBnuvJxwkvB+2D4/AUlao&#10;lfVoJHybBJv29qZRtfYX3JnzPg+MQjDVSsKYc6g5T/1onEoLHwySdvTRqUxrHLiO6kLhzvKlECV3&#10;akL6MKpgXkfTf+1PTsKuD91QffilLY9hS6fPOL/9SHl/N788A8tmzv9m+MMndGiJqfMn1IlZCStR&#10;rclKQ7UqgZGjFE/UrpOwLsoCeNvw6w7tLwAAAP//AwBQSwECLQAUAAYACAAAACEAtoM4kv4AAADh&#10;AQAAEwAAAAAAAAAAAAAAAAAAAAAAW0NvbnRlbnRfVHlwZXNdLnhtbFBLAQItABQABgAIAAAAIQA4&#10;/SH/1gAAAJQBAAALAAAAAAAAAAAAAAAAAC8BAABfcmVscy8ucmVsc1BLAQItABQABgAIAAAAIQC0&#10;y4cXhAIAAGoFAAAOAAAAAAAAAAAAAAAAAC4CAABkcnMvZTJvRG9jLnhtbFBLAQItABQABgAIAAAA&#10;IQBMXR2x3wAAAAsBAAAPAAAAAAAAAAAAAAAAAN4EAABkcnMvZG93bnJldi54bWxQSwUGAAAAAAQA&#10;BADzAAAA6gUAAAAA&#10;" fillcolor="white [3212]" strokecolor="#1f3763 [1604]" strokeweight="1pt">
                <v:stroke joinstyle="miter"/>
              </v:oval>
            </w:pict>
          </mc:Fallback>
        </mc:AlternateContent>
      </w:r>
      <w:r w:rsidR="005116E2">
        <w:rPr>
          <w:rFonts w:ascii="Times New Roman" w:hAnsi="Times New Roman" w:cs="Times New Roman"/>
          <w:b/>
          <w:noProof/>
          <w:sz w:val="24"/>
          <w:szCs w:val="24"/>
        </w:rPr>
        <w:drawing>
          <wp:inline distT="0" distB="0" distL="0" distR="0" wp14:anchorId="10181B1A" wp14:editId="1A8BD176">
            <wp:extent cx="5943600" cy="41325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ceptual-framework-of-diabetes-self-care-behavior.png"/>
                    <pic:cNvPicPr/>
                  </pic:nvPicPr>
                  <pic:blipFill>
                    <a:blip r:embed="rId7">
                      <a:extLst>
                        <a:ext uri="{28A0092B-C50C-407E-A947-70E740481C1C}">
                          <a14:useLocalDpi xmlns:a14="http://schemas.microsoft.com/office/drawing/2010/main" val="0"/>
                        </a:ext>
                      </a:extLst>
                    </a:blip>
                    <a:stretch>
                      <a:fillRect/>
                    </a:stretch>
                  </pic:blipFill>
                  <pic:spPr>
                    <a:xfrm>
                      <a:off x="0" y="0"/>
                      <a:ext cx="5943600" cy="4132580"/>
                    </a:xfrm>
                    <a:prstGeom prst="rect">
                      <a:avLst/>
                    </a:prstGeom>
                  </pic:spPr>
                </pic:pic>
              </a:graphicData>
            </a:graphic>
          </wp:inline>
        </w:drawing>
      </w:r>
    </w:p>
    <w:p w14:paraId="461973A2" w14:textId="2377E803" w:rsidR="001A0B11" w:rsidRDefault="00C9086B" w:rsidP="001A0B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2: </w:t>
      </w:r>
      <w:r w:rsidR="001A0B11">
        <w:rPr>
          <w:rFonts w:ascii="Times New Roman" w:hAnsi="Times New Roman" w:cs="Times New Roman"/>
          <w:b/>
          <w:sz w:val="24"/>
          <w:szCs w:val="24"/>
        </w:rPr>
        <w:t>Handouts</w:t>
      </w:r>
      <w:bookmarkStart w:id="0" w:name="_GoBack"/>
      <w:bookmarkEnd w:id="0"/>
    </w:p>
    <w:p w14:paraId="4D574861" w14:textId="7D8C58C1" w:rsidR="001A0B11" w:rsidRDefault="007E390D" w:rsidP="001A0B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3: </w:t>
      </w:r>
      <w:r w:rsidR="001A0B11">
        <w:rPr>
          <w:rFonts w:ascii="Times New Roman" w:hAnsi="Times New Roman" w:cs="Times New Roman"/>
          <w:b/>
          <w:sz w:val="24"/>
          <w:szCs w:val="24"/>
        </w:rPr>
        <w:t>Budget</w:t>
      </w:r>
    </w:p>
    <w:p w14:paraId="0C35E9B7" w14:textId="4F853B76" w:rsidR="007E390D" w:rsidRPr="00584596" w:rsidRDefault="00584596" w:rsidP="007E390D">
      <w:pPr>
        <w:spacing w:line="480" w:lineRule="auto"/>
        <w:rPr>
          <w:rFonts w:ascii="Times New Roman" w:hAnsi="Times New Roman" w:cs="Times New Roman"/>
          <w:sz w:val="24"/>
          <w:szCs w:val="24"/>
        </w:rPr>
      </w:pPr>
      <w:r w:rsidRPr="00584596">
        <w:rPr>
          <w:rFonts w:ascii="Times New Roman" w:hAnsi="Times New Roman" w:cs="Times New Roman"/>
          <w:sz w:val="24"/>
          <w:szCs w:val="24"/>
        </w:rPr>
        <w:t xml:space="preserve">The research involved numerous activities which translated to costs. </w:t>
      </w:r>
      <w:r>
        <w:rPr>
          <w:rFonts w:ascii="Times New Roman" w:hAnsi="Times New Roman" w:cs="Times New Roman"/>
          <w:sz w:val="24"/>
          <w:szCs w:val="24"/>
        </w:rPr>
        <w:t>With the help of family and friend, I was a</w:t>
      </w:r>
      <w:r w:rsidR="00737FB5">
        <w:rPr>
          <w:rFonts w:ascii="Times New Roman" w:hAnsi="Times New Roman" w:cs="Times New Roman"/>
          <w:sz w:val="24"/>
          <w:szCs w:val="24"/>
        </w:rPr>
        <w:t>ble to offloads some of the burden</w:t>
      </w:r>
      <w:r w:rsidR="002F67E3">
        <w:rPr>
          <w:rFonts w:ascii="Times New Roman" w:hAnsi="Times New Roman" w:cs="Times New Roman"/>
          <w:sz w:val="24"/>
          <w:szCs w:val="24"/>
        </w:rPr>
        <w:t>.</w:t>
      </w:r>
    </w:p>
    <w:tbl>
      <w:tblPr>
        <w:tblStyle w:val="PlainTable3"/>
        <w:tblW w:w="0" w:type="auto"/>
        <w:tblLook w:val="04A0" w:firstRow="1" w:lastRow="0" w:firstColumn="1" w:lastColumn="0" w:noHBand="0" w:noVBand="1"/>
      </w:tblPr>
      <w:tblGrid>
        <w:gridCol w:w="4675"/>
        <w:gridCol w:w="4675"/>
      </w:tblGrid>
      <w:tr w:rsidR="00F94B1F" w14:paraId="0DF7D799" w14:textId="77777777" w:rsidTr="009F1EB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5" w:type="dxa"/>
          </w:tcPr>
          <w:p w14:paraId="3194C690" w14:textId="2F45319A" w:rsidR="00F94B1F" w:rsidRDefault="00F94B1F"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Name</w:t>
            </w:r>
          </w:p>
        </w:tc>
        <w:tc>
          <w:tcPr>
            <w:tcW w:w="4675" w:type="dxa"/>
          </w:tcPr>
          <w:p w14:paraId="33924899" w14:textId="5B74CCA9" w:rsidR="00F94B1F" w:rsidRDefault="00F94B1F" w:rsidP="001A0B1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Cost</w:t>
            </w:r>
            <w:r w:rsidR="000338D7">
              <w:rPr>
                <w:rFonts w:ascii="Times New Roman" w:hAnsi="Times New Roman" w:cs="Times New Roman"/>
                <w:b w:val="0"/>
                <w:sz w:val="24"/>
                <w:szCs w:val="24"/>
              </w:rPr>
              <w:t>($)</w:t>
            </w:r>
          </w:p>
        </w:tc>
      </w:tr>
      <w:tr w:rsidR="00F94B1F" w14:paraId="1C49A84F" w14:textId="77777777" w:rsidTr="009F1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816BD07" w14:textId="73FDF2EB" w:rsidR="00F94B1F" w:rsidRDefault="00305DD5"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Stationery</w:t>
            </w:r>
          </w:p>
        </w:tc>
        <w:tc>
          <w:tcPr>
            <w:tcW w:w="4675" w:type="dxa"/>
          </w:tcPr>
          <w:p w14:paraId="1B5EBB71" w14:textId="2ADC5EBD" w:rsidR="00F94B1F" w:rsidRDefault="000338D7" w:rsidP="001A0B1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50</w:t>
            </w:r>
          </w:p>
        </w:tc>
      </w:tr>
      <w:tr w:rsidR="00F94B1F" w14:paraId="0E32C8E2" w14:textId="77777777" w:rsidTr="009F1EB9">
        <w:tc>
          <w:tcPr>
            <w:cnfStyle w:val="001000000000" w:firstRow="0" w:lastRow="0" w:firstColumn="1" w:lastColumn="0" w:oddVBand="0" w:evenVBand="0" w:oddHBand="0" w:evenHBand="0" w:firstRowFirstColumn="0" w:firstRowLastColumn="0" w:lastRowFirstColumn="0" w:lastRowLastColumn="0"/>
            <w:tcW w:w="4675" w:type="dxa"/>
          </w:tcPr>
          <w:p w14:paraId="50CA9266" w14:textId="40033465" w:rsidR="00F94B1F" w:rsidRDefault="00305DD5"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Library fee</w:t>
            </w:r>
          </w:p>
        </w:tc>
        <w:tc>
          <w:tcPr>
            <w:tcW w:w="4675" w:type="dxa"/>
          </w:tcPr>
          <w:p w14:paraId="065F39A3" w14:textId="632B4F5A" w:rsidR="00F94B1F" w:rsidRDefault="000338D7" w:rsidP="001A0B1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100</w:t>
            </w:r>
          </w:p>
        </w:tc>
      </w:tr>
      <w:tr w:rsidR="00F94B1F" w14:paraId="0D071D63" w14:textId="77777777" w:rsidTr="009F1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D512F16" w14:textId="55FDD0F2" w:rsidR="00F94B1F" w:rsidRDefault="00305DD5"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lastRenderedPageBreak/>
              <w:t>Transport</w:t>
            </w:r>
          </w:p>
        </w:tc>
        <w:tc>
          <w:tcPr>
            <w:tcW w:w="4675" w:type="dxa"/>
          </w:tcPr>
          <w:p w14:paraId="3E88468B" w14:textId="0F900F9B" w:rsidR="00F94B1F" w:rsidRDefault="000338D7" w:rsidP="001A0B1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150</w:t>
            </w:r>
          </w:p>
        </w:tc>
      </w:tr>
      <w:tr w:rsidR="00F94B1F" w14:paraId="36825C1F" w14:textId="77777777" w:rsidTr="009F1EB9">
        <w:tc>
          <w:tcPr>
            <w:cnfStyle w:val="001000000000" w:firstRow="0" w:lastRow="0" w:firstColumn="1" w:lastColumn="0" w:oddVBand="0" w:evenVBand="0" w:oddHBand="0" w:evenHBand="0" w:firstRowFirstColumn="0" w:firstRowLastColumn="0" w:lastRowFirstColumn="0" w:lastRowLastColumn="0"/>
            <w:tcW w:w="4675" w:type="dxa"/>
          </w:tcPr>
          <w:p w14:paraId="64FF1F1A" w14:textId="0545ADFB" w:rsidR="00F94B1F" w:rsidRDefault="00305DD5"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Printing</w:t>
            </w:r>
          </w:p>
        </w:tc>
        <w:tc>
          <w:tcPr>
            <w:tcW w:w="4675" w:type="dxa"/>
          </w:tcPr>
          <w:p w14:paraId="2A5914DE" w14:textId="24B373F8" w:rsidR="00F94B1F" w:rsidRDefault="000338D7" w:rsidP="001A0B1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74</w:t>
            </w:r>
          </w:p>
        </w:tc>
      </w:tr>
      <w:tr w:rsidR="00F94B1F" w14:paraId="345B2ECF" w14:textId="77777777" w:rsidTr="009F1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214D213" w14:textId="45DC37A2" w:rsidR="00F94B1F" w:rsidRDefault="00B37F84"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Lunch</w:t>
            </w:r>
          </w:p>
        </w:tc>
        <w:tc>
          <w:tcPr>
            <w:tcW w:w="4675" w:type="dxa"/>
          </w:tcPr>
          <w:p w14:paraId="33CC0150" w14:textId="2C4F0AD5" w:rsidR="00F94B1F" w:rsidRDefault="00B37F84" w:rsidP="001A0B1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45</w:t>
            </w:r>
          </w:p>
        </w:tc>
      </w:tr>
      <w:tr w:rsidR="00F94B1F" w14:paraId="57A16953" w14:textId="77777777" w:rsidTr="009F1EB9">
        <w:tc>
          <w:tcPr>
            <w:cnfStyle w:val="001000000000" w:firstRow="0" w:lastRow="0" w:firstColumn="1" w:lastColumn="0" w:oddVBand="0" w:evenVBand="0" w:oddHBand="0" w:evenHBand="0" w:firstRowFirstColumn="0" w:firstRowLastColumn="0" w:lastRowFirstColumn="0" w:lastRowLastColumn="0"/>
            <w:tcW w:w="4675" w:type="dxa"/>
          </w:tcPr>
          <w:p w14:paraId="291F7F63" w14:textId="0C410DF3" w:rsidR="00F94B1F" w:rsidRDefault="00DD36C6"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Research work</w:t>
            </w:r>
          </w:p>
        </w:tc>
        <w:tc>
          <w:tcPr>
            <w:tcW w:w="4675" w:type="dxa"/>
          </w:tcPr>
          <w:p w14:paraId="3866B7AE" w14:textId="36C0E73D" w:rsidR="00F94B1F" w:rsidRDefault="00DD36C6" w:rsidP="001A0B1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200</w:t>
            </w:r>
          </w:p>
        </w:tc>
      </w:tr>
      <w:tr w:rsidR="00F94B1F" w14:paraId="3C66BF4D" w14:textId="77777777" w:rsidTr="009F1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6526A32" w14:textId="754216A8" w:rsidR="00F94B1F" w:rsidRPr="009F1EB9" w:rsidRDefault="00046287" w:rsidP="001A0B11">
            <w:pPr>
              <w:spacing w:line="480" w:lineRule="auto"/>
              <w:jc w:val="center"/>
              <w:rPr>
                <w:rFonts w:ascii="Times New Roman" w:hAnsi="Times New Roman" w:cs="Times New Roman"/>
                <w:sz w:val="24"/>
                <w:szCs w:val="24"/>
              </w:rPr>
            </w:pPr>
            <w:r w:rsidRPr="009F1EB9">
              <w:rPr>
                <w:rFonts w:ascii="Times New Roman" w:hAnsi="Times New Roman" w:cs="Times New Roman"/>
                <w:sz w:val="24"/>
                <w:szCs w:val="24"/>
              </w:rPr>
              <w:t>TOTAL</w:t>
            </w:r>
          </w:p>
        </w:tc>
        <w:tc>
          <w:tcPr>
            <w:tcW w:w="4675" w:type="dxa"/>
          </w:tcPr>
          <w:p w14:paraId="02C0E03A" w14:textId="56C330ED" w:rsidR="00F94B1F" w:rsidRPr="009F1EB9" w:rsidRDefault="009F1EB9" w:rsidP="001A0B1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9F1EB9">
              <w:rPr>
                <w:rFonts w:ascii="Times New Roman" w:hAnsi="Times New Roman" w:cs="Times New Roman"/>
                <w:b/>
                <w:sz w:val="24"/>
                <w:szCs w:val="24"/>
              </w:rPr>
              <w:t>619</w:t>
            </w:r>
          </w:p>
        </w:tc>
      </w:tr>
    </w:tbl>
    <w:p w14:paraId="35D8CBF2" w14:textId="77777777" w:rsidR="00F94B1F" w:rsidRDefault="00F94B1F" w:rsidP="001A0B11">
      <w:pPr>
        <w:spacing w:line="480" w:lineRule="auto"/>
        <w:jc w:val="center"/>
        <w:rPr>
          <w:rFonts w:ascii="Times New Roman" w:hAnsi="Times New Roman" w:cs="Times New Roman"/>
          <w:b/>
          <w:sz w:val="24"/>
          <w:szCs w:val="24"/>
        </w:rPr>
      </w:pPr>
    </w:p>
    <w:p w14:paraId="671967CA" w14:textId="5006BC00" w:rsidR="001A0B11" w:rsidRDefault="002F67E3" w:rsidP="001A0B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4: </w:t>
      </w:r>
      <w:r w:rsidR="001A0B11">
        <w:rPr>
          <w:rFonts w:ascii="Times New Roman" w:hAnsi="Times New Roman" w:cs="Times New Roman"/>
          <w:b/>
          <w:sz w:val="24"/>
          <w:szCs w:val="24"/>
        </w:rPr>
        <w:t>Timeline</w:t>
      </w:r>
    </w:p>
    <w:p w14:paraId="45470139" w14:textId="625FFA06" w:rsidR="002F67E3" w:rsidRPr="00D365BF" w:rsidRDefault="00E17FEE" w:rsidP="002F67E3">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research has been intensive and took a lot of time and resources to put the work togethe</w:t>
      </w:r>
      <w:r w:rsidR="00F105AD">
        <w:rPr>
          <w:rFonts w:ascii="Times New Roman" w:hAnsi="Times New Roman" w:cs="Times New Roman"/>
          <w:sz w:val="24"/>
          <w:szCs w:val="24"/>
        </w:rPr>
        <w:t>r. It took 6 months to research comprehensively</w:t>
      </w:r>
      <w:r w:rsidR="00D365BF">
        <w:rPr>
          <w:rFonts w:ascii="Times New Roman" w:hAnsi="Times New Roman" w:cs="Times New Roman"/>
          <w:sz w:val="24"/>
          <w:szCs w:val="24"/>
        </w:rPr>
        <w:t xml:space="preserve"> and prepare the reports.</w:t>
      </w:r>
    </w:p>
    <w:p w14:paraId="6E9B4FC3" w14:textId="1B53BAA4" w:rsidR="001A0B11" w:rsidRDefault="00D365BF" w:rsidP="001A0B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5: </w:t>
      </w:r>
      <w:r w:rsidR="001A0B11">
        <w:rPr>
          <w:rFonts w:ascii="Times New Roman" w:hAnsi="Times New Roman" w:cs="Times New Roman"/>
          <w:b/>
          <w:sz w:val="24"/>
          <w:szCs w:val="24"/>
        </w:rPr>
        <w:t>Resource List</w:t>
      </w:r>
    </w:p>
    <w:p w14:paraId="603ACCB8" w14:textId="7EC43648" w:rsidR="00C83510" w:rsidRPr="00FA61DF" w:rsidRDefault="00FA61DF" w:rsidP="00C83510">
      <w:pPr>
        <w:spacing w:line="480" w:lineRule="auto"/>
        <w:rPr>
          <w:rFonts w:ascii="Times New Roman" w:hAnsi="Times New Roman" w:cs="Times New Roman"/>
          <w:sz w:val="24"/>
          <w:szCs w:val="24"/>
        </w:rPr>
      </w:pPr>
      <w:r>
        <w:rPr>
          <w:rFonts w:ascii="Times New Roman" w:hAnsi="Times New Roman" w:cs="Times New Roman"/>
          <w:sz w:val="24"/>
          <w:szCs w:val="24"/>
        </w:rPr>
        <w:t>I used various resources to conduct the research. They included</w:t>
      </w:r>
      <w:r w:rsidR="008C2FAB">
        <w:rPr>
          <w:rFonts w:ascii="Times New Roman" w:hAnsi="Times New Roman" w:cs="Times New Roman"/>
          <w:sz w:val="24"/>
          <w:szCs w:val="24"/>
        </w:rPr>
        <w:t>; books, journals, electronic sources, newspapers. All the</w:t>
      </w:r>
      <w:r w:rsidR="00F40F73">
        <w:rPr>
          <w:rFonts w:ascii="Times New Roman" w:hAnsi="Times New Roman" w:cs="Times New Roman"/>
          <w:sz w:val="24"/>
          <w:szCs w:val="24"/>
        </w:rPr>
        <w:t>se resources have enr</w:t>
      </w:r>
      <w:r w:rsidR="006457BB">
        <w:rPr>
          <w:rFonts w:ascii="Times New Roman" w:hAnsi="Times New Roman" w:cs="Times New Roman"/>
          <w:sz w:val="24"/>
          <w:szCs w:val="24"/>
        </w:rPr>
        <w:t>iched the research and</w:t>
      </w:r>
      <w:r w:rsidR="00F40F73">
        <w:rPr>
          <w:rFonts w:ascii="Times New Roman" w:hAnsi="Times New Roman" w:cs="Times New Roman"/>
          <w:sz w:val="24"/>
          <w:szCs w:val="24"/>
        </w:rPr>
        <w:t xml:space="preserve"> widened the scope of the study and incorporated the different idea</w:t>
      </w:r>
      <w:r w:rsidR="00E73F1E">
        <w:rPr>
          <w:rFonts w:ascii="Times New Roman" w:hAnsi="Times New Roman" w:cs="Times New Roman"/>
          <w:sz w:val="24"/>
          <w:szCs w:val="24"/>
        </w:rPr>
        <w:t>s into the study. Also, I extensively used questionnaires and interviews to gather information</w:t>
      </w:r>
      <w:r w:rsidR="009628E4">
        <w:rPr>
          <w:rFonts w:ascii="Times New Roman" w:hAnsi="Times New Roman" w:cs="Times New Roman"/>
          <w:sz w:val="24"/>
          <w:szCs w:val="24"/>
        </w:rPr>
        <w:t xml:space="preserve"> from</w:t>
      </w:r>
      <w:r w:rsidR="00C7403B">
        <w:rPr>
          <w:rFonts w:ascii="Times New Roman" w:hAnsi="Times New Roman" w:cs="Times New Roman"/>
          <w:sz w:val="24"/>
          <w:szCs w:val="24"/>
        </w:rPr>
        <w:t xml:space="preserve"> the respondent.</w:t>
      </w:r>
    </w:p>
    <w:p w14:paraId="0CE5E6AD" w14:textId="5121BA3D" w:rsidR="001A0B11" w:rsidRPr="004F21C1" w:rsidRDefault="00C9086B" w:rsidP="001A0B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6: </w:t>
      </w:r>
      <w:r w:rsidR="001A0B11">
        <w:rPr>
          <w:rFonts w:ascii="Times New Roman" w:hAnsi="Times New Roman" w:cs="Times New Roman"/>
          <w:b/>
          <w:sz w:val="24"/>
          <w:szCs w:val="24"/>
        </w:rPr>
        <w:t>Approval forms</w:t>
      </w:r>
    </w:p>
    <w:p w14:paraId="6F2B376D" w14:textId="77777777" w:rsidR="009E5044" w:rsidRPr="000065BE" w:rsidRDefault="009E5044" w:rsidP="009E5044">
      <w:pPr>
        <w:spacing w:line="480" w:lineRule="auto"/>
        <w:rPr>
          <w:rFonts w:ascii="Times New Roman" w:hAnsi="Times New Roman" w:cs="Times New Roman"/>
          <w:sz w:val="24"/>
          <w:szCs w:val="24"/>
        </w:rPr>
      </w:pPr>
    </w:p>
    <w:p w14:paraId="38B28AD2" w14:textId="77777777" w:rsidR="009E5044" w:rsidRDefault="009E5044"/>
    <w:sectPr w:rsidR="009E5044" w:rsidSect="00AC6D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B0FEA8" w14:textId="77777777" w:rsidR="00F022FD" w:rsidRDefault="00F022FD" w:rsidP="009E5044">
      <w:pPr>
        <w:spacing w:after="0" w:line="240" w:lineRule="auto"/>
      </w:pPr>
      <w:r>
        <w:separator/>
      </w:r>
    </w:p>
  </w:endnote>
  <w:endnote w:type="continuationSeparator" w:id="0">
    <w:p w14:paraId="726C31B7" w14:textId="77777777" w:rsidR="00F022FD" w:rsidRDefault="00F022FD" w:rsidP="009E5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766A9" w14:textId="77777777" w:rsidR="00F022FD" w:rsidRDefault="00F022FD" w:rsidP="009E5044">
      <w:pPr>
        <w:spacing w:after="0" w:line="240" w:lineRule="auto"/>
      </w:pPr>
      <w:r>
        <w:separator/>
      </w:r>
    </w:p>
  </w:footnote>
  <w:footnote w:type="continuationSeparator" w:id="0">
    <w:p w14:paraId="7DDA3B91" w14:textId="77777777" w:rsidR="00F022FD" w:rsidRDefault="00F022FD" w:rsidP="009E50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2478460"/>
      <w:docPartObj>
        <w:docPartGallery w:val="Page Numbers (Top of Page)"/>
        <w:docPartUnique/>
      </w:docPartObj>
    </w:sdtPr>
    <w:sdtEndPr>
      <w:rPr>
        <w:noProof/>
      </w:rPr>
    </w:sdtEndPr>
    <w:sdtContent>
      <w:p w14:paraId="4923B06D" w14:textId="77777777" w:rsidR="00731B23" w:rsidRDefault="00483805">
        <w:pPr>
          <w:pStyle w:val="Header"/>
          <w:jc w:val="right"/>
        </w:pPr>
        <w:r>
          <w:fldChar w:fldCharType="begin"/>
        </w:r>
        <w:r>
          <w:instrText xml:space="preserve"> PAGE   \* MERGEFORMAT </w:instrText>
        </w:r>
        <w:r>
          <w:fldChar w:fldCharType="separate"/>
        </w:r>
        <w:r w:rsidR="00905CD1">
          <w:rPr>
            <w:noProof/>
          </w:rPr>
          <w:t>26</w:t>
        </w:r>
        <w:r>
          <w:rPr>
            <w:noProof/>
          </w:rPr>
          <w:fldChar w:fldCharType="end"/>
        </w:r>
      </w:p>
    </w:sdtContent>
  </w:sdt>
  <w:p w14:paraId="793410BF" w14:textId="693DCB01" w:rsidR="00731B23" w:rsidRDefault="00AC6D4C">
    <w:pPr>
      <w:pStyle w:val="Header"/>
    </w:pPr>
    <w:r w:rsidRPr="00AC6D4C">
      <w:t>USE OF PERSONALIZED NUTRITIONAL PLANS TO CONTROL TYPE II DIABETES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832675"/>
      <w:docPartObj>
        <w:docPartGallery w:val="Page Numbers (Top of Page)"/>
        <w:docPartUnique/>
      </w:docPartObj>
    </w:sdtPr>
    <w:sdtEndPr>
      <w:rPr>
        <w:noProof/>
      </w:rPr>
    </w:sdtEndPr>
    <w:sdtContent>
      <w:p w14:paraId="0791783B" w14:textId="7878AF43" w:rsidR="00AC6D4C" w:rsidRDefault="00AC6D4C" w:rsidP="00AC6D4C">
        <w:pPr>
          <w:pStyle w:val="Header"/>
        </w:pPr>
        <w:r>
          <w:t xml:space="preserve">Running Head: </w:t>
        </w:r>
        <w:r w:rsidRPr="00AC6D4C">
          <w:t>USE OF PERSONALIZED NUTRI</w:t>
        </w:r>
        <w:r>
          <w:t xml:space="preserve">TIONAL PLANS TO CONTROL TYPE II </w:t>
        </w:r>
        <w:r w:rsidRPr="00AC6D4C">
          <w:t>DIABETES</w:t>
        </w:r>
        <w:r>
          <w:tab/>
        </w:r>
        <w:r>
          <w:tab/>
        </w:r>
        <w:r>
          <w:fldChar w:fldCharType="begin"/>
        </w:r>
        <w:r>
          <w:instrText xml:space="preserve"> PAGE   \* MERGEFORMAT </w:instrText>
        </w:r>
        <w:r>
          <w:fldChar w:fldCharType="separate"/>
        </w:r>
        <w:r w:rsidR="00C9086B">
          <w:rPr>
            <w:noProof/>
          </w:rPr>
          <w:t>1</w:t>
        </w:r>
        <w:r>
          <w:rPr>
            <w:noProof/>
          </w:rPr>
          <w:fldChar w:fldCharType="end"/>
        </w:r>
      </w:p>
    </w:sdtContent>
  </w:sdt>
  <w:p w14:paraId="5FEA17C8" w14:textId="77777777" w:rsidR="00AC6D4C" w:rsidRDefault="00AC6D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cwMjCwNDcxNrU0MDZQ0lEKTi0uzszPAykwrgUAI6qi8SwAAAA="/>
  </w:docVars>
  <w:rsids>
    <w:rsidRoot w:val="009E5044"/>
    <w:rsid w:val="000338D7"/>
    <w:rsid w:val="00046287"/>
    <w:rsid w:val="00074D5D"/>
    <w:rsid w:val="000802B3"/>
    <w:rsid w:val="00173514"/>
    <w:rsid w:val="001A0B11"/>
    <w:rsid w:val="001F0EC6"/>
    <w:rsid w:val="00230292"/>
    <w:rsid w:val="00233B6E"/>
    <w:rsid w:val="00237EDC"/>
    <w:rsid w:val="002B3D88"/>
    <w:rsid w:val="002F67E3"/>
    <w:rsid w:val="00305DD5"/>
    <w:rsid w:val="003802CB"/>
    <w:rsid w:val="003B6117"/>
    <w:rsid w:val="003B703D"/>
    <w:rsid w:val="00443768"/>
    <w:rsid w:val="00483805"/>
    <w:rsid w:val="004A3126"/>
    <w:rsid w:val="004A378D"/>
    <w:rsid w:val="004F21C1"/>
    <w:rsid w:val="005116E2"/>
    <w:rsid w:val="0053742B"/>
    <w:rsid w:val="00551212"/>
    <w:rsid w:val="00584596"/>
    <w:rsid w:val="005C15C2"/>
    <w:rsid w:val="005C444C"/>
    <w:rsid w:val="00614626"/>
    <w:rsid w:val="006223AA"/>
    <w:rsid w:val="0063789D"/>
    <w:rsid w:val="006457BB"/>
    <w:rsid w:val="006624BC"/>
    <w:rsid w:val="006E3D91"/>
    <w:rsid w:val="006F72C6"/>
    <w:rsid w:val="00731B23"/>
    <w:rsid w:val="00737FB5"/>
    <w:rsid w:val="007C6E28"/>
    <w:rsid w:val="007E390D"/>
    <w:rsid w:val="008B43FC"/>
    <w:rsid w:val="008B5631"/>
    <w:rsid w:val="008C2FAB"/>
    <w:rsid w:val="00905CD1"/>
    <w:rsid w:val="009628E4"/>
    <w:rsid w:val="009C0E3D"/>
    <w:rsid w:val="009E5044"/>
    <w:rsid w:val="009F1EB9"/>
    <w:rsid w:val="00A21EA4"/>
    <w:rsid w:val="00A5243E"/>
    <w:rsid w:val="00AC6D4C"/>
    <w:rsid w:val="00B35D48"/>
    <w:rsid w:val="00B37F84"/>
    <w:rsid w:val="00BB6387"/>
    <w:rsid w:val="00C55AAA"/>
    <w:rsid w:val="00C7403B"/>
    <w:rsid w:val="00C83510"/>
    <w:rsid w:val="00C853F1"/>
    <w:rsid w:val="00C9086B"/>
    <w:rsid w:val="00D22A89"/>
    <w:rsid w:val="00D365BF"/>
    <w:rsid w:val="00DD36C6"/>
    <w:rsid w:val="00DF65F4"/>
    <w:rsid w:val="00E04156"/>
    <w:rsid w:val="00E04C20"/>
    <w:rsid w:val="00E17FEE"/>
    <w:rsid w:val="00E443C6"/>
    <w:rsid w:val="00E73F1E"/>
    <w:rsid w:val="00EC366C"/>
    <w:rsid w:val="00F004A0"/>
    <w:rsid w:val="00F022FD"/>
    <w:rsid w:val="00F105AD"/>
    <w:rsid w:val="00F40F73"/>
    <w:rsid w:val="00F847BF"/>
    <w:rsid w:val="00F94B1F"/>
    <w:rsid w:val="00FA6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F9B0A"/>
  <w15:chartTrackingRefBased/>
  <w15:docId w15:val="{7F0D1F90-AB08-437A-9B60-2190F85F9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5044"/>
    <w:pPr>
      <w:spacing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044"/>
    <w:pPr>
      <w:tabs>
        <w:tab w:val="center" w:pos="4680"/>
        <w:tab w:val="right" w:pos="936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rsid w:val="009E5044"/>
    <w:rPr>
      <w:rFonts w:ascii="Times New Roman" w:hAnsi="Times New Roman"/>
    </w:rPr>
  </w:style>
  <w:style w:type="paragraph" w:styleId="Footer">
    <w:name w:val="footer"/>
    <w:basedOn w:val="Normal"/>
    <w:link w:val="FooterChar"/>
    <w:uiPriority w:val="99"/>
    <w:unhideWhenUsed/>
    <w:rsid w:val="009E5044"/>
    <w:pPr>
      <w:tabs>
        <w:tab w:val="center" w:pos="4680"/>
        <w:tab w:val="right" w:pos="9360"/>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rsid w:val="009E5044"/>
    <w:rPr>
      <w:rFonts w:ascii="Times New Roman" w:hAnsi="Times New Roman"/>
    </w:rPr>
  </w:style>
  <w:style w:type="character" w:styleId="Hyperlink">
    <w:name w:val="Hyperlink"/>
    <w:basedOn w:val="DefaultParagraphFont"/>
    <w:uiPriority w:val="99"/>
    <w:unhideWhenUsed/>
    <w:rsid w:val="009E5044"/>
    <w:rPr>
      <w:color w:val="0563C1" w:themeColor="hyperlink"/>
      <w:u w:val="single"/>
    </w:rPr>
  </w:style>
  <w:style w:type="table" w:styleId="TableGrid">
    <w:name w:val="Table Grid"/>
    <w:basedOn w:val="TableNormal"/>
    <w:uiPriority w:val="39"/>
    <w:rsid w:val="00F94B1F"/>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3">
    <w:name w:val="Plain Table 3"/>
    <w:basedOn w:val="TableNormal"/>
    <w:uiPriority w:val="43"/>
    <w:rsid w:val="009F1EB9"/>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325846997_METHODS_OF_DATA_COLLEC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26</Pages>
  <Words>5980</Words>
  <Characters>34087</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User</cp:lastModifiedBy>
  <cp:revision>3</cp:revision>
  <dcterms:created xsi:type="dcterms:W3CDTF">2019-11-07T05:29:00Z</dcterms:created>
  <dcterms:modified xsi:type="dcterms:W3CDTF">2019-11-10T22:29:00Z</dcterms:modified>
</cp:coreProperties>
</file>